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5B95606D"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F7C53">
        <w:rPr>
          <w:rFonts w:ascii="Arial" w:eastAsiaTheme="minorEastAsia" w:hAnsi="Arial" w:cs="Arial"/>
          <w:b/>
          <w:bCs/>
          <w:i/>
          <w:iCs/>
          <w:lang w:eastAsia="es-ES"/>
        </w:rPr>
        <w:t>19</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20</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15196"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AB801"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6D0965FF"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58293A" w:rsidRPr="00B84E8C">
              <w:rPr>
                <w:color w:val="000000"/>
                <w:sz w:val="16"/>
                <w:szCs w:val="16"/>
              </w:rPr>
              <w:t>0</w:t>
            </w:r>
            <w:r w:rsidR="005B077F">
              <w:rPr>
                <w:color w:val="000000"/>
                <w:sz w:val="16"/>
                <w:szCs w:val="16"/>
              </w:rPr>
              <w:t>82</w:t>
            </w:r>
            <w:r w:rsidR="00AB46AD">
              <w:rPr>
                <w:color w:val="000000"/>
                <w:sz w:val="16"/>
                <w:szCs w:val="16"/>
              </w:rPr>
              <w:t>5</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5F3F94C5" w:rsidR="00041FA0" w:rsidRPr="00041FA0" w:rsidRDefault="00D4097E"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Financiación internacional</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CC407"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B21EE8"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B21EE8"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77777777"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Pr>
          <w:rFonts w:ascii="Times New Roman" w:eastAsiaTheme="minorEastAsia" w:hAnsi="Times New Roman" w:cs="Times New Roman"/>
          <w:sz w:val="20"/>
          <w:szCs w:val="20"/>
          <w:lang w:eastAsia="es-ES"/>
        </w:rPr>
        <w:tab/>
      </w: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D2F83"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2BB49"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16A81"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B21EE8"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B21EE8"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F9C3F0" w14:textId="77777777" w:rsidR="001E103A" w:rsidRDefault="001E103A"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16B05889"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0641483B" w14:textId="117CA55A" w:rsidR="002324F8" w:rsidRDefault="002324F8" w:rsidP="00D70CEE">
      <w:pPr>
        <w:widowControl w:val="0"/>
        <w:spacing w:after="0" w:line="200" w:lineRule="exact"/>
        <w:jc w:val="center"/>
        <w:rPr>
          <w:rFonts w:ascii="Calibri" w:eastAsia="Calibri" w:hAnsi="Calibri" w:cs="Times New Roman"/>
          <w:b/>
          <w:sz w:val="20"/>
          <w:szCs w:val="20"/>
          <w:u w:val="single"/>
        </w:rPr>
      </w:pPr>
    </w:p>
    <w:p w14:paraId="75E01DB9" w14:textId="481916F5" w:rsidR="002324F8" w:rsidRPr="005233E4" w:rsidRDefault="002324F8" w:rsidP="002324F8">
      <w:pPr>
        <w:widowControl w:val="0"/>
        <w:spacing w:after="0" w:line="200" w:lineRule="exact"/>
        <w:jc w:val="both"/>
        <w:rPr>
          <w:rFonts w:ascii="Arial" w:eastAsia="Calibri" w:hAnsi="Arial" w:cs="Arial"/>
          <w:b/>
          <w:sz w:val="20"/>
          <w:szCs w:val="20"/>
        </w:rPr>
      </w:pPr>
      <w:r w:rsidRPr="005233E4">
        <w:rPr>
          <w:rFonts w:ascii="Arial" w:eastAsia="Calibri" w:hAnsi="Arial" w:cs="Arial"/>
          <w:b/>
          <w:sz w:val="20"/>
          <w:szCs w:val="20"/>
        </w:rPr>
        <w:t>PARTE TEÓRICA (</w:t>
      </w:r>
      <w:r w:rsidR="00117EDB">
        <w:rPr>
          <w:rFonts w:ascii="Arial" w:eastAsia="Calibri" w:hAnsi="Arial" w:cs="Arial"/>
          <w:b/>
          <w:sz w:val="20"/>
          <w:szCs w:val="20"/>
        </w:rPr>
        <w:t>4</w:t>
      </w:r>
      <w:r w:rsidRPr="005233E4">
        <w:rPr>
          <w:rFonts w:ascii="Arial" w:eastAsia="Calibri" w:hAnsi="Arial" w:cs="Arial"/>
          <w:b/>
          <w:sz w:val="20"/>
          <w:szCs w:val="20"/>
        </w:rPr>
        <w:t>0%)</w:t>
      </w:r>
    </w:p>
    <w:p w14:paraId="3E630CDA" w14:textId="786196F0" w:rsidR="005233E4" w:rsidRDefault="005233E4" w:rsidP="002324F8">
      <w:pPr>
        <w:widowControl w:val="0"/>
        <w:spacing w:after="0" w:line="200" w:lineRule="exact"/>
        <w:jc w:val="both"/>
        <w:rPr>
          <w:rFonts w:ascii="Arial" w:eastAsia="Calibri" w:hAnsi="Arial" w:cs="Arial"/>
          <w:b/>
          <w:sz w:val="20"/>
          <w:szCs w:val="20"/>
        </w:rPr>
      </w:pPr>
    </w:p>
    <w:p w14:paraId="52E85D69" w14:textId="3BD10117" w:rsidR="00737FC8" w:rsidRDefault="00463D64" w:rsidP="00350EBC">
      <w:pPr>
        <w:pStyle w:val="Prrafodelista"/>
        <w:widowControl w:val="0"/>
        <w:numPr>
          <w:ilvl w:val="0"/>
          <w:numId w:val="2"/>
        </w:numPr>
        <w:spacing w:after="0"/>
        <w:jc w:val="both"/>
        <w:rPr>
          <w:rFonts w:ascii="Arial" w:eastAsia="Calibri" w:hAnsi="Arial" w:cs="Arial"/>
          <w:bCs/>
          <w:sz w:val="20"/>
          <w:szCs w:val="20"/>
        </w:rPr>
      </w:pPr>
      <w:r>
        <w:rPr>
          <w:rFonts w:ascii="Arial" w:eastAsia="Calibri" w:hAnsi="Arial" w:cs="Arial"/>
          <w:bCs/>
          <w:sz w:val="20"/>
          <w:szCs w:val="20"/>
        </w:rPr>
        <w:t xml:space="preserve">Enumera y explica las principales funciones y características de los organismos y entidades que proporcionan información relacionada con la financiación de las operaciones de comercio internacional. </w:t>
      </w:r>
      <w:r w:rsidRPr="0000426A">
        <w:rPr>
          <w:rFonts w:ascii="Arial" w:eastAsia="Calibri" w:hAnsi="Arial" w:cs="Arial"/>
          <w:b/>
          <w:sz w:val="20"/>
          <w:szCs w:val="20"/>
        </w:rPr>
        <w:t>(1 punto)</w:t>
      </w:r>
    </w:p>
    <w:p w14:paraId="5C23921D" w14:textId="77777777" w:rsidR="00463D64" w:rsidRPr="00463D64" w:rsidRDefault="00463D64" w:rsidP="00350EBC">
      <w:pPr>
        <w:widowControl w:val="0"/>
        <w:spacing w:after="0"/>
        <w:jc w:val="both"/>
        <w:rPr>
          <w:rFonts w:ascii="Arial" w:eastAsia="Calibri" w:hAnsi="Arial" w:cs="Arial"/>
          <w:bCs/>
          <w:sz w:val="20"/>
          <w:szCs w:val="20"/>
        </w:rPr>
      </w:pPr>
    </w:p>
    <w:p w14:paraId="1B41867C" w14:textId="6057E2D1" w:rsidR="00463D64" w:rsidRDefault="00463D64" w:rsidP="00350EBC">
      <w:pPr>
        <w:pStyle w:val="Prrafodelista"/>
        <w:widowControl w:val="0"/>
        <w:numPr>
          <w:ilvl w:val="0"/>
          <w:numId w:val="2"/>
        </w:numPr>
        <w:spacing w:after="0"/>
        <w:jc w:val="both"/>
        <w:rPr>
          <w:rFonts w:ascii="Arial" w:eastAsia="Calibri" w:hAnsi="Arial" w:cs="Arial"/>
          <w:bCs/>
          <w:sz w:val="20"/>
          <w:szCs w:val="20"/>
        </w:rPr>
      </w:pPr>
      <w:r>
        <w:rPr>
          <w:rFonts w:ascii="Arial" w:eastAsia="Calibri" w:hAnsi="Arial" w:cs="Arial"/>
          <w:bCs/>
          <w:sz w:val="20"/>
          <w:szCs w:val="20"/>
        </w:rPr>
        <w:t xml:space="preserve">Funciones principales del mercado FOREX. </w:t>
      </w:r>
      <w:r w:rsidRPr="0000426A">
        <w:rPr>
          <w:rFonts w:ascii="Arial" w:eastAsia="Calibri" w:hAnsi="Arial" w:cs="Arial"/>
          <w:b/>
          <w:sz w:val="20"/>
          <w:szCs w:val="20"/>
        </w:rPr>
        <w:t>(0,5</w:t>
      </w:r>
      <w:r w:rsidR="0000426A" w:rsidRPr="0000426A">
        <w:rPr>
          <w:rFonts w:ascii="Arial" w:eastAsia="Calibri" w:hAnsi="Arial" w:cs="Arial"/>
          <w:b/>
          <w:sz w:val="20"/>
          <w:szCs w:val="20"/>
        </w:rPr>
        <w:t xml:space="preserve"> puntos</w:t>
      </w:r>
      <w:r w:rsidRPr="0000426A">
        <w:rPr>
          <w:rFonts w:ascii="Arial" w:eastAsia="Calibri" w:hAnsi="Arial" w:cs="Arial"/>
          <w:b/>
          <w:sz w:val="20"/>
          <w:szCs w:val="20"/>
        </w:rPr>
        <w:t>)</w:t>
      </w:r>
    </w:p>
    <w:p w14:paraId="30676FED" w14:textId="77777777" w:rsidR="00463D64" w:rsidRPr="00463D64" w:rsidRDefault="00463D64" w:rsidP="00350EBC">
      <w:pPr>
        <w:pStyle w:val="Prrafodelista"/>
        <w:rPr>
          <w:rFonts w:ascii="Arial" w:eastAsia="Calibri" w:hAnsi="Arial" w:cs="Arial"/>
          <w:bCs/>
          <w:sz w:val="20"/>
          <w:szCs w:val="20"/>
        </w:rPr>
      </w:pPr>
    </w:p>
    <w:p w14:paraId="54613628" w14:textId="68282B1B" w:rsidR="00463D64" w:rsidRDefault="00463D64" w:rsidP="00350EBC">
      <w:pPr>
        <w:pStyle w:val="Prrafodelista"/>
        <w:widowControl w:val="0"/>
        <w:numPr>
          <w:ilvl w:val="0"/>
          <w:numId w:val="2"/>
        </w:numPr>
        <w:spacing w:after="0"/>
        <w:jc w:val="both"/>
        <w:rPr>
          <w:rFonts w:ascii="Arial" w:eastAsia="Calibri" w:hAnsi="Arial" w:cs="Arial"/>
          <w:bCs/>
          <w:sz w:val="20"/>
          <w:szCs w:val="20"/>
        </w:rPr>
      </w:pPr>
      <w:r>
        <w:rPr>
          <w:rFonts w:ascii="Arial" w:eastAsia="Calibri" w:hAnsi="Arial" w:cs="Arial"/>
          <w:bCs/>
          <w:sz w:val="20"/>
          <w:szCs w:val="20"/>
        </w:rPr>
        <w:t xml:space="preserve">Enumera y explica las diferentes variables que influyen en la fluctuación del tipo de cambio de una divisa. </w:t>
      </w:r>
      <w:r w:rsidR="00E21D19" w:rsidRPr="0000426A">
        <w:rPr>
          <w:rFonts w:ascii="Arial" w:eastAsia="Calibri" w:hAnsi="Arial" w:cs="Arial"/>
          <w:b/>
          <w:sz w:val="20"/>
          <w:szCs w:val="20"/>
        </w:rPr>
        <w:t>(0,5</w:t>
      </w:r>
      <w:r w:rsidR="0000426A" w:rsidRPr="0000426A">
        <w:rPr>
          <w:rFonts w:ascii="Arial" w:eastAsia="Calibri" w:hAnsi="Arial" w:cs="Arial"/>
          <w:b/>
          <w:sz w:val="20"/>
          <w:szCs w:val="20"/>
        </w:rPr>
        <w:t xml:space="preserve"> puntos</w:t>
      </w:r>
      <w:r w:rsidR="00E21D19" w:rsidRPr="0000426A">
        <w:rPr>
          <w:rFonts w:ascii="Arial" w:eastAsia="Calibri" w:hAnsi="Arial" w:cs="Arial"/>
          <w:b/>
          <w:sz w:val="20"/>
          <w:szCs w:val="20"/>
        </w:rPr>
        <w:t>)</w:t>
      </w:r>
    </w:p>
    <w:p w14:paraId="1A29B226" w14:textId="77777777" w:rsidR="00E21D19" w:rsidRPr="00E21D19" w:rsidRDefault="00E21D19" w:rsidP="00350EBC">
      <w:pPr>
        <w:pStyle w:val="Prrafodelista"/>
        <w:rPr>
          <w:rFonts w:ascii="Arial" w:eastAsia="Calibri" w:hAnsi="Arial" w:cs="Arial"/>
          <w:bCs/>
          <w:sz w:val="20"/>
          <w:szCs w:val="20"/>
        </w:rPr>
      </w:pPr>
    </w:p>
    <w:p w14:paraId="766BA1C3" w14:textId="247B1E09" w:rsidR="00E21D19" w:rsidRDefault="002142DA" w:rsidP="00350EBC">
      <w:pPr>
        <w:pStyle w:val="Prrafodelista"/>
        <w:widowControl w:val="0"/>
        <w:numPr>
          <w:ilvl w:val="0"/>
          <w:numId w:val="2"/>
        </w:numPr>
        <w:spacing w:after="0"/>
        <w:jc w:val="both"/>
        <w:rPr>
          <w:rFonts w:ascii="Arial" w:eastAsia="Calibri" w:hAnsi="Arial" w:cs="Arial"/>
          <w:bCs/>
          <w:sz w:val="20"/>
          <w:szCs w:val="20"/>
        </w:rPr>
      </w:pPr>
      <w:r>
        <w:rPr>
          <w:rFonts w:ascii="Arial" w:eastAsia="Calibri" w:hAnsi="Arial" w:cs="Arial"/>
          <w:bCs/>
          <w:sz w:val="20"/>
          <w:szCs w:val="20"/>
        </w:rPr>
        <w:t>Concepto de Euromercados. ¿Cuáles son sus principales características?</w:t>
      </w:r>
      <w:r w:rsidR="00757C5D">
        <w:rPr>
          <w:rFonts w:ascii="Arial" w:eastAsia="Calibri" w:hAnsi="Arial" w:cs="Arial"/>
          <w:bCs/>
          <w:sz w:val="20"/>
          <w:szCs w:val="20"/>
        </w:rPr>
        <w:t xml:space="preserve"> </w:t>
      </w:r>
      <w:r w:rsidR="00757C5D" w:rsidRPr="0000426A">
        <w:rPr>
          <w:rFonts w:ascii="Arial" w:eastAsia="Calibri" w:hAnsi="Arial" w:cs="Arial"/>
          <w:b/>
          <w:sz w:val="20"/>
          <w:szCs w:val="20"/>
        </w:rPr>
        <w:t>(0,5</w:t>
      </w:r>
      <w:r w:rsidR="0000426A" w:rsidRPr="0000426A">
        <w:rPr>
          <w:rFonts w:ascii="Arial" w:eastAsia="Calibri" w:hAnsi="Arial" w:cs="Arial"/>
          <w:b/>
          <w:sz w:val="20"/>
          <w:szCs w:val="20"/>
        </w:rPr>
        <w:t xml:space="preserve"> puntos</w:t>
      </w:r>
      <w:r w:rsidR="00757C5D" w:rsidRPr="0000426A">
        <w:rPr>
          <w:rFonts w:ascii="Arial" w:eastAsia="Calibri" w:hAnsi="Arial" w:cs="Arial"/>
          <w:b/>
          <w:sz w:val="20"/>
          <w:szCs w:val="20"/>
        </w:rPr>
        <w:t>)</w:t>
      </w:r>
    </w:p>
    <w:p w14:paraId="034C711A" w14:textId="77777777" w:rsidR="00FF0691" w:rsidRPr="00FF0691" w:rsidRDefault="00FF0691" w:rsidP="00350EBC">
      <w:pPr>
        <w:pStyle w:val="Prrafodelista"/>
        <w:rPr>
          <w:rFonts w:ascii="Arial" w:eastAsia="Calibri" w:hAnsi="Arial" w:cs="Arial"/>
          <w:bCs/>
          <w:sz w:val="20"/>
          <w:szCs w:val="20"/>
        </w:rPr>
      </w:pPr>
    </w:p>
    <w:p w14:paraId="7BEE62AD" w14:textId="58E32381" w:rsidR="00FF0691" w:rsidRPr="0000426A" w:rsidRDefault="00FF0691" w:rsidP="00350EBC">
      <w:pPr>
        <w:pStyle w:val="Prrafodelista"/>
        <w:widowControl w:val="0"/>
        <w:numPr>
          <w:ilvl w:val="0"/>
          <w:numId w:val="2"/>
        </w:numPr>
        <w:spacing w:after="0"/>
        <w:jc w:val="both"/>
        <w:rPr>
          <w:rFonts w:ascii="Arial" w:eastAsia="Calibri" w:hAnsi="Arial" w:cs="Arial"/>
          <w:b/>
          <w:sz w:val="20"/>
          <w:szCs w:val="20"/>
        </w:rPr>
      </w:pPr>
      <w:r>
        <w:rPr>
          <w:rFonts w:ascii="Arial" w:eastAsia="Calibri" w:hAnsi="Arial" w:cs="Arial"/>
          <w:bCs/>
          <w:sz w:val="20"/>
          <w:szCs w:val="20"/>
        </w:rPr>
        <w:t xml:space="preserve">¿A qué tipo de fuentes recurre la financiación internacional? Realiza una clasificación de las diferentes fuentes con una breve definición de cada uno de ellas. </w:t>
      </w:r>
      <w:r w:rsidR="006C2C45" w:rsidRPr="0000426A">
        <w:rPr>
          <w:rFonts w:ascii="Arial" w:eastAsia="Calibri" w:hAnsi="Arial" w:cs="Arial"/>
          <w:b/>
          <w:sz w:val="20"/>
          <w:szCs w:val="20"/>
        </w:rPr>
        <w:t>(1 punto)</w:t>
      </w:r>
    </w:p>
    <w:p w14:paraId="52D7AE3F" w14:textId="77777777" w:rsidR="00091597" w:rsidRPr="0000426A" w:rsidRDefault="00091597" w:rsidP="00350EBC">
      <w:pPr>
        <w:pStyle w:val="Prrafodelista"/>
        <w:rPr>
          <w:rFonts w:ascii="Arial" w:eastAsia="Calibri" w:hAnsi="Arial" w:cs="Arial"/>
          <w:b/>
          <w:sz w:val="20"/>
          <w:szCs w:val="20"/>
        </w:rPr>
      </w:pPr>
    </w:p>
    <w:p w14:paraId="15860E1A" w14:textId="3EF3479B" w:rsidR="00091597" w:rsidRDefault="003A10D5" w:rsidP="00350EBC">
      <w:pPr>
        <w:pStyle w:val="Prrafodelista"/>
        <w:widowControl w:val="0"/>
        <w:numPr>
          <w:ilvl w:val="0"/>
          <w:numId w:val="2"/>
        </w:numPr>
        <w:spacing w:after="0"/>
        <w:jc w:val="both"/>
        <w:rPr>
          <w:rFonts w:ascii="Arial" w:eastAsia="Calibri" w:hAnsi="Arial" w:cs="Arial"/>
          <w:bCs/>
          <w:sz w:val="20"/>
          <w:szCs w:val="20"/>
        </w:rPr>
      </w:pPr>
      <w:r>
        <w:rPr>
          <w:rFonts w:ascii="Arial" w:eastAsia="Calibri" w:hAnsi="Arial" w:cs="Arial"/>
          <w:bCs/>
          <w:sz w:val="20"/>
          <w:szCs w:val="20"/>
        </w:rPr>
        <w:t>Contesta a las siguientes cuestiones:</w:t>
      </w:r>
      <w:r w:rsidR="002D0E59">
        <w:rPr>
          <w:rFonts w:ascii="Arial" w:eastAsia="Calibri" w:hAnsi="Arial" w:cs="Arial"/>
          <w:bCs/>
          <w:sz w:val="20"/>
          <w:szCs w:val="20"/>
        </w:rPr>
        <w:t xml:space="preserve"> </w:t>
      </w:r>
      <w:r w:rsidR="002D0E59" w:rsidRPr="0000426A">
        <w:rPr>
          <w:rFonts w:ascii="Arial" w:eastAsia="Calibri" w:hAnsi="Arial" w:cs="Arial"/>
          <w:b/>
          <w:sz w:val="20"/>
          <w:szCs w:val="20"/>
        </w:rPr>
        <w:t>(0,5</w:t>
      </w:r>
      <w:r w:rsidR="0000426A" w:rsidRPr="0000426A">
        <w:rPr>
          <w:rFonts w:ascii="Arial" w:eastAsia="Calibri" w:hAnsi="Arial" w:cs="Arial"/>
          <w:b/>
          <w:sz w:val="20"/>
          <w:szCs w:val="20"/>
        </w:rPr>
        <w:t xml:space="preserve"> puntos</w:t>
      </w:r>
      <w:r w:rsidR="002D0E59" w:rsidRPr="0000426A">
        <w:rPr>
          <w:rFonts w:ascii="Arial" w:eastAsia="Calibri" w:hAnsi="Arial" w:cs="Arial"/>
          <w:b/>
          <w:sz w:val="20"/>
          <w:szCs w:val="20"/>
        </w:rPr>
        <w:t>)</w:t>
      </w:r>
    </w:p>
    <w:p w14:paraId="60D529E6" w14:textId="77777777" w:rsidR="003A10D5" w:rsidRPr="003A10D5" w:rsidRDefault="003A10D5" w:rsidP="00350EBC">
      <w:pPr>
        <w:pStyle w:val="Prrafodelista"/>
        <w:rPr>
          <w:rFonts w:ascii="Arial" w:eastAsia="Calibri" w:hAnsi="Arial" w:cs="Arial"/>
          <w:bCs/>
          <w:sz w:val="20"/>
          <w:szCs w:val="20"/>
        </w:rPr>
      </w:pPr>
    </w:p>
    <w:p w14:paraId="319FF70B" w14:textId="7FA43C6C" w:rsidR="003A10D5" w:rsidRDefault="003A10D5" w:rsidP="00350EBC">
      <w:pPr>
        <w:pStyle w:val="Prrafodelista"/>
        <w:widowControl w:val="0"/>
        <w:numPr>
          <w:ilvl w:val="1"/>
          <w:numId w:val="2"/>
        </w:numPr>
        <w:spacing w:after="0"/>
        <w:jc w:val="both"/>
        <w:rPr>
          <w:rFonts w:ascii="Arial" w:eastAsia="Calibri" w:hAnsi="Arial" w:cs="Arial"/>
          <w:bCs/>
          <w:sz w:val="20"/>
          <w:szCs w:val="20"/>
        </w:rPr>
      </w:pPr>
      <w:r>
        <w:rPr>
          <w:rFonts w:ascii="Arial" w:eastAsia="Calibri" w:hAnsi="Arial" w:cs="Arial"/>
          <w:bCs/>
          <w:sz w:val="20"/>
          <w:szCs w:val="20"/>
        </w:rPr>
        <w:t>Además de conceder préstamos a los exportadores, ¿qué más gestiona el ICO?</w:t>
      </w:r>
    </w:p>
    <w:p w14:paraId="5AAF0926" w14:textId="7B170B99" w:rsidR="003A10D5" w:rsidRDefault="003A10D5" w:rsidP="00350EBC">
      <w:pPr>
        <w:pStyle w:val="Prrafodelista"/>
        <w:widowControl w:val="0"/>
        <w:numPr>
          <w:ilvl w:val="1"/>
          <w:numId w:val="2"/>
        </w:numPr>
        <w:spacing w:after="0"/>
        <w:jc w:val="both"/>
        <w:rPr>
          <w:rFonts w:ascii="Arial" w:eastAsia="Calibri" w:hAnsi="Arial" w:cs="Arial"/>
          <w:bCs/>
          <w:sz w:val="20"/>
          <w:szCs w:val="20"/>
        </w:rPr>
      </w:pPr>
      <w:r>
        <w:rPr>
          <w:rFonts w:ascii="Arial" w:eastAsia="Calibri" w:hAnsi="Arial" w:cs="Arial"/>
          <w:bCs/>
          <w:sz w:val="20"/>
          <w:szCs w:val="20"/>
        </w:rPr>
        <w:t xml:space="preserve">¿En base a qué se produce el retorno de la financiación </w:t>
      </w:r>
      <w:proofErr w:type="spellStart"/>
      <w:r>
        <w:rPr>
          <w:rFonts w:ascii="Arial" w:eastAsia="Calibri" w:hAnsi="Arial" w:cs="Arial"/>
          <w:bCs/>
          <w:sz w:val="20"/>
          <w:szCs w:val="20"/>
        </w:rPr>
        <w:t>proyect</w:t>
      </w:r>
      <w:proofErr w:type="spellEnd"/>
      <w:r>
        <w:rPr>
          <w:rFonts w:ascii="Arial" w:eastAsia="Calibri" w:hAnsi="Arial" w:cs="Arial"/>
          <w:bCs/>
          <w:sz w:val="20"/>
          <w:szCs w:val="20"/>
        </w:rPr>
        <w:t xml:space="preserve"> </w:t>
      </w:r>
      <w:proofErr w:type="spellStart"/>
      <w:r>
        <w:rPr>
          <w:rFonts w:ascii="Arial" w:eastAsia="Calibri" w:hAnsi="Arial" w:cs="Arial"/>
          <w:bCs/>
          <w:sz w:val="20"/>
          <w:szCs w:val="20"/>
        </w:rPr>
        <w:t>finance</w:t>
      </w:r>
      <w:proofErr w:type="spellEnd"/>
      <w:r>
        <w:rPr>
          <w:rFonts w:ascii="Arial" w:eastAsia="Calibri" w:hAnsi="Arial" w:cs="Arial"/>
          <w:bCs/>
          <w:sz w:val="20"/>
          <w:szCs w:val="20"/>
        </w:rPr>
        <w:t>?</w:t>
      </w:r>
    </w:p>
    <w:p w14:paraId="3E24E07F" w14:textId="54E9E30D" w:rsidR="003A10D5" w:rsidRDefault="003A10D5" w:rsidP="00350EBC">
      <w:pPr>
        <w:pStyle w:val="Prrafodelista"/>
        <w:widowControl w:val="0"/>
        <w:numPr>
          <w:ilvl w:val="1"/>
          <w:numId w:val="2"/>
        </w:numPr>
        <w:spacing w:after="0"/>
        <w:jc w:val="both"/>
        <w:rPr>
          <w:rFonts w:ascii="Arial" w:eastAsia="Calibri" w:hAnsi="Arial" w:cs="Arial"/>
          <w:bCs/>
          <w:sz w:val="20"/>
          <w:szCs w:val="20"/>
        </w:rPr>
      </w:pPr>
      <w:r>
        <w:rPr>
          <w:rFonts w:ascii="Arial" w:eastAsia="Calibri" w:hAnsi="Arial" w:cs="Arial"/>
          <w:bCs/>
          <w:sz w:val="20"/>
          <w:szCs w:val="20"/>
        </w:rPr>
        <w:t xml:space="preserve">¿Qué </w:t>
      </w:r>
      <w:proofErr w:type="spellStart"/>
      <w:r>
        <w:rPr>
          <w:rFonts w:ascii="Arial" w:eastAsia="Calibri" w:hAnsi="Arial" w:cs="Arial"/>
          <w:bCs/>
          <w:sz w:val="20"/>
          <w:szCs w:val="20"/>
        </w:rPr>
        <w:t>sifnifica</w:t>
      </w:r>
      <w:proofErr w:type="spellEnd"/>
      <w:r>
        <w:rPr>
          <w:rFonts w:ascii="Arial" w:eastAsia="Calibri" w:hAnsi="Arial" w:cs="Arial"/>
          <w:bCs/>
          <w:sz w:val="20"/>
          <w:szCs w:val="20"/>
        </w:rPr>
        <w:t xml:space="preserve"> la cláusula sin recurso?</w:t>
      </w:r>
    </w:p>
    <w:p w14:paraId="2BB83A0C" w14:textId="11962D00" w:rsidR="003A10D5" w:rsidRDefault="003A10D5" w:rsidP="00350EBC">
      <w:pPr>
        <w:pStyle w:val="Prrafodelista"/>
        <w:widowControl w:val="0"/>
        <w:numPr>
          <w:ilvl w:val="1"/>
          <w:numId w:val="2"/>
        </w:numPr>
        <w:spacing w:after="0"/>
        <w:jc w:val="both"/>
        <w:rPr>
          <w:rFonts w:ascii="Arial" w:eastAsia="Calibri" w:hAnsi="Arial" w:cs="Arial"/>
          <w:bCs/>
          <w:sz w:val="20"/>
          <w:szCs w:val="20"/>
        </w:rPr>
      </w:pPr>
      <w:r>
        <w:rPr>
          <w:rFonts w:ascii="Arial" w:eastAsia="Calibri" w:hAnsi="Arial" w:cs="Arial"/>
          <w:bCs/>
          <w:sz w:val="20"/>
          <w:szCs w:val="20"/>
        </w:rPr>
        <w:t xml:space="preserve">¿Qué es el </w:t>
      </w:r>
      <w:proofErr w:type="spellStart"/>
      <w:r>
        <w:rPr>
          <w:rFonts w:ascii="Arial" w:eastAsia="Calibri" w:hAnsi="Arial" w:cs="Arial"/>
          <w:bCs/>
          <w:sz w:val="20"/>
          <w:szCs w:val="20"/>
        </w:rPr>
        <w:t>risk</w:t>
      </w:r>
      <w:proofErr w:type="spellEnd"/>
      <w:r>
        <w:rPr>
          <w:rFonts w:ascii="Arial" w:eastAsia="Calibri" w:hAnsi="Arial" w:cs="Arial"/>
          <w:bCs/>
          <w:sz w:val="20"/>
          <w:szCs w:val="20"/>
        </w:rPr>
        <w:t xml:space="preserve"> </w:t>
      </w:r>
      <w:proofErr w:type="spellStart"/>
      <w:r>
        <w:rPr>
          <w:rFonts w:ascii="Arial" w:eastAsia="Calibri" w:hAnsi="Arial" w:cs="Arial"/>
          <w:bCs/>
          <w:sz w:val="20"/>
          <w:szCs w:val="20"/>
        </w:rPr>
        <w:t>management</w:t>
      </w:r>
      <w:proofErr w:type="spellEnd"/>
      <w:r>
        <w:rPr>
          <w:rFonts w:ascii="Arial" w:eastAsia="Calibri" w:hAnsi="Arial" w:cs="Arial"/>
          <w:bCs/>
          <w:sz w:val="20"/>
          <w:szCs w:val="20"/>
        </w:rPr>
        <w:t>?</w:t>
      </w:r>
    </w:p>
    <w:p w14:paraId="49491C36" w14:textId="6E570982" w:rsidR="003A10D5" w:rsidRDefault="003A10D5" w:rsidP="00350EBC">
      <w:pPr>
        <w:pStyle w:val="Prrafodelista"/>
        <w:widowControl w:val="0"/>
        <w:numPr>
          <w:ilvl w:val="1"/>
          <w:numId w:val="2"/>
        </w:numPr>
        <w:spacing w:after="0"/>
        <w:jc w:val="both"/>
        <w:rPr>
          <w:rFonts w:ascii="Arial" w:eastAsia="Calibri" w:hAnsi="Arial" w:cs="Arial"/>
          <w:bCs/>
          <w:sz w:val="20"/>
          <w:szCs w:val="20"/>
        </w:rPr>
      </w:pPr>
      <w:r>
        <w:rPr>
          <w:rFonts w:ascii="Arial" w:eastAsia="Calibri" w:hAnsi="Arial" w:cs="Arial"/>
          <w:bCs/>
          <w:sz w:val="20"/>
          <w:szCs w:val="20"/>
        </w:rPr>
        <w:t>¿Qué posibilita la cobertura collar de tipos de interés?</w:t>
      </w:r>
    </w:p>
    <w:p w14:paraId="44A65EF5" w14:textId="7CC3CF58" w:rsidR="006C2C45" w:rsidRDefault="006C2C45" w:rsidP="00350EBC">
      <w:pPr>
        <w:pStyle w:val="Prrafodelista"/>
        <w:rPr>
          <w:rFonts w:ascii="Arial" w:eastAsia="Calibri" w:hAnsi="Arial" w:cs="Arial"/>
          <w:bCs/>
          <w:sz w:val="20"/>
          <w:szCs w:val="20"/>
        </w:rPr>
      </w:pPr>
    </w:p>
    <w:p w14:paraId="1106959D" w14:textId="79A77E01" w:rsidR="006C2C45" w:rsidRDefault="006C2C45" w:rsidP="00350EBC">
      <w:pPr>
        <w:widowControl w:val="0"/>
        <w:spacing w:after="0"/>
        <w:jc w:val="both"/>
        <w:rPr>
          <w:rFonts w:ascii="Arial" w:eastAsia="Calibri" w:hAnsi="Arial" w:cs="Arial"/>
          <w:bCs/>
          <w:sz w:val="20"/>
          <w:szCs w:val="20"/>
        </w:rPr>
      </w:pPr>
    </w:p>
    <w:p w14:paraId="2999EF90" w14:textId="1AAC76AC" w:rsidR="00473BEB" w:rsidRPr="000D3008" w:rsidRDefault="00473BEB" w:rsidP="00350EBC">
      <w:pPr>
        <w:widowControl w:val="0"/>
        <w:spacing w:after="0"/>
        <w:jc w:val="both"/>
        <w:rPr>
          <w:rFonts w:ascii="Arial" w:eastAsia="Calibri" w:hAnsi="Arial" w:cs="Arial"/>
          <w:b/>
          <w:sz w:val="20"/>
          <w:szCs w:val="20"/>
        </w:rPr>
      </w:pPr>
      <w:r w:rsidRPr="000D3008">
        <w:rPr>
          <w:rFonts w:ascii="Arial" w:eastAsia="Calibri" w:hAnsi="Arial" w:cs="Arial"/>
          <w:b/>
          <w:sz w:val="20"/>
          <w:szCs w:val="20"/>
        </w:rPr>
        <w:t>PARTE PRÁCTICA (60%)</w:t>
      </w:r>
    </w:p>
    <w:p w14:paraId="65516A9E" w14:textId="7F7409D5" w:rsidR="00473BEB" w:rsidRDefault="00473BEB" w:rsidP="00350EBC">
      <w:pPr>
        <w:widowControl w:val="0"/>
        <w:spacing w:after="0"/>
        <w:jc w:val="both"/>
        <w:rPr>
          <w:rFonts w:ascii="Arial" w:eastAsia="Calibri" w:hAnsi="Arial" w:cs="Arial"/>
          <w:bCs/>
          <w:sz w:val="20"/>
          <w:szCs w:val="20"/>
        </w:rPr>
      </w:pPr>
    </w:p>
    <w:p w14:paraId="21AA39CD" w14:textId="19D9DC0E" w:rsidR="00473BEB" w:rsidRPr="004927E6" w:rsidRDefault="00473BEB" w:rsidP="00350EBC">
      <w:pPr>
        <w:pStyle w:val="Prrafodelista"/>
        <w:widowControl w:val="0"/>
        <w:numPr>
          <w:ilvl w:val="0"/>
          <w:numId w:val="3"/>
        </w:numPr>
        <w:spacing w:after="0"/>
        <w:jc w:val="both"/>
        <w:rPr>
          <w:rFonts w:ascii="Arial" w:eastAsia="Calibri" w:hAnsi="Arial" w:cs="Arial"/>
          <w:b/>
          <w:sz w:val="20"/>
          <w:szCs w:val="20"/>
        </w:rPr>
      </w:pPr>
      <w:r w:rsidRPr="00473BEB">
        <w:rPr>
          <w:rFonts w:ascii="Arial" w:eastAsia="Calibri" w:hAnsi="Arial" w:cs="Arial"/>
          <w:bCs/>
          <w:sz w:val="20"/>
          <w:szCs w:val="20"/>
        </w:rPr>
        <w:t xml:space="preserve">En su última exportación a Oriente Medio la empresa </w:t>
      </w:r>
      <w:proofErr w:type="spellStart"/>
      <w:r w:rsidRPr="00473BEB">
        <w:rPr>
          <w:rFonts w:ascii="Arial" w:eastAsia="Calibri" w:hAnsi="Arial" w:cs="Arial"/>
          <w:bCs/>
          <w:sz w:val="20"/>
          <w:szCs w:val="20"/>
        </w:rPr>
        <w:t>Piquersa</w:t>
      </w:r>
      <w:proofErr w:type="spellEnd"/>
      <w:r w:rsidRPr="00473BEB">
        <w:rPr>
          <w:rFonts w:ascii="Arial" w:eastAsia="Calibri" w:hAnsi="Arial" w:cs="Arial"/>
          <w:bCs/>
          <w:sz w:val="20"/>
          <w:szCs w:val="20"/>
        </w:rPr>
        <w:t xml:space="preserve"> recibió un pedido valorado en 250.000 dólares, sobre un </w:t>
      </w:r>
      <w:proofErr w:type="spellStart"/>
      <w:r w:rsidRPr="00473BEB">
        <w:rPr>
          <w:rFonts w:ascii="Arial" w:eastAsia="Calibri" w:hAnsi="Arial" w:cs="Arial"/>
          <w:bCs/>
          <w:sz w:val="20"/>
          <w:szCs w:val="20"/>
        </w:rPr>
        <w:t>dumper</w:t>
      </w:r>
      <w:proofErr w:type="spellEnd"/>
      <w:r w:rsidRPr="00473BEB">
        <w:rPr>
          <w:rFonts w:ascii="Arial" w:eastAsia="Calibri" w:hAnsi="Arial" w:cs="Arial"/>
          <w:bCs/>
          <w:sz w:val="20"/>
          <w:szCs w:val="20"/>
        </w:rPr>
        <w:t xml:space="preserve"> que ya había sido construido para una exposición y, por tanto, no existía necesidad de financiar el proceso productivo. Se sabe que los gastos de venta, en conjunto, ascendieron a 15.000 </w:t>
      </w:r>
      <w:proofErr w:type="spellStart"/>
      <w:r w:rsidRPr="00473BEB">
        <w:rPr>
          <w:rFonts w:ascii="Arial" w:eastAsia="Calibri" w:hAnsi="Arial" w:cs="Arial"/>
          <w:bCs/>
          <w:sz w:val="20"/>
          <w:szCs w:val="20"/>
        </w:rPr>
        <w:t>doláres</w:t>
      </w:r>
      <w:proofErr w:type="spellEnd"/>
      <w:r w:rsidRPr="00473BEB">
        <w:rPr>
          <w:rFonts w:ascii="Arial" w:eastAsia="Calibri" w:hAnsi="Arial" w:cs="Arial"/>
          <w:bCs/>
          <w:sz w:val="20"/>
          <w:szCs w:val="20"/>
        </w:rPr>
        <w:t xml:space="preserve"> y el equipo había costado, según un </w:t>
      </w:r>
      <w:r w:rsidRPr="00473BEB">
        <w:rPr>
          <w:rFonts w:ascii="Arial" w:eastAsia="Calibri" w:hAnsi="Arial" w:cs="Arial"/>
          <w:bCs/>
          <w:sz w:val="20"/>
          <w:szCs w:val="20"/>
        </w:rPr>
        <w:lastRenderedPageBreak/>
        <w:t xml:space="preserve">eficaz sistema de </w:t>
      </w:r>
      <w:proofErr w:type="spellStart"/>
      <w:r w:rsidRPr="00473BEB">
        <w:rPr>
          <w:rFonts w:ascii="Arial" w:eastAsia="Calibri" w:hAnsi="Arial" w:cs="Arial"/>
          <w:bCs/>
          <w:sz w:val="20"/>
          <w:szCs w:val="20"/>
        </w:rPr>
        <w:t>cáculo</w:t>
      </w:r>
      <w:proofErr w:type="spellEnd"/>
      <w:r w:rsidRPr="00473BEB">
        <w:rPr>
          <w:rFonts w:ascii="Arial" w:eastAsia="Calibri" w:hAnsi="Arial" w:cs="Arial"/>
          <w:bCs/>
          <w:sz w:val="20"/>
          <w:szCs w:val="20"/>
        </w:rPr>
        <w:t xml:space="preserve"> anal</w:t>
      </w:r>
      <w:r w:rsidR="00350EBC">
        <w:rPr>
          <w:rFonts w:ascii="Arial" w:eastAsia="Calibri" w:hAnsi="Arial" w:cs="Arial"/>
          <w:bCs/>
          <w:sz w:val="20"/>
          <w:szCs w:val="20"/>
        </w:rPr>
        <w:t>í</w:t>
      </w:r>
      <w:r w:rsidRPr="00473BEB">
        <w:rPr>
          <w:rFonts w:ascii="Arial" w:eastAsia="Calibri" w:hAnsi="Arial" w:cs="Arial"/>
          <w:bCs/>
          <w:sz w:val="20"/>
          <w:szCs w:val="20"/>
        </w:rPr>
        <w:t xml:space="preserve">tico, 15.000 euros. En este caso, recibió un pagaré con vencimiento a 120 días y, dado que el cliente era desconocido hasta el momento, se optó para su cobro por la opción de </w:t>
      </w:r>
      <w:proofErr w:type="spellStart"/>
      <w:r w:rsidRPr="00473BEB">
        <w:rPr>
          <w:rFonts w:ascii="Arial" w:eastAsia="Calibri" w:hAnsi="Arial" w:cs="Arial"/>
          <w:bCs/>
          <w:sz w:val="20"/>
          <w:szCs w:val="20"/>
        </w:rPr>
        <w:t>forfaiting</w:t>
      </w:r>
      <w:proofErr w:type="spellEnd"/>
      <w:r w:rsidRPr="00473BEB">
        <w:rPr>
          <w:rFonts w:ascii="Arial" w:eastAsia="Calibri" w:hAnsi="Arial" w:cs="Arial"/>
          <w:bCs/>
          <w:sz w:val="20"/>
          <w:szCs w:val="20"/>
        </w:rPr>
        <w:t>.</w:t>
      </w:r>
      <w:r w:rsidR="00251052">
        <w:rPr>
          <w:rFonts w:ascii="Arial" w:eastAsia="Calibri" w:hAnsi="Arial" w:cs="Arial"/>
          <w:bCs/>
          <w:sz w:val="20"/>
          <w:szCs w:val="20"/>
        </w:rPr>
        <w:t xml:space="preserve"> </w:t>
      </w:r>
      <w:r w:rsidR="00251052" w:rsidRPr="004927E6">
        <w:rPr>
          <w:rFonts w:ascii="Arial" w:eastAsia="Calibri" w:hAnsi="Arial" w:cs="Arial"/>
          <w:b/>
          <w:sz w:val="20"/>
          <w:szCs w:val="20"/>
        </w:rPr>
        <w:t>(1</w:t>
      </w:r>
      <w:r w:rsidR="00AF40DA" w:rsidRPr="004927E6">
        <w:rPr>
          <w:rFonts w:ascii="Arial" w:eastAsia="Calibri" w:hAnsi="Arial" w:cs="Arial"/>
          <w:b/>
          <w:sz w:val="20"/>
          <w:szCs w:val="20"/>
        </w:rPr>
        <w:t>,5</w:t>
      </w:r>
      <w:r w:rsidR="00251052" w:rsidRPr="004927E6">
        <w:rPr>
          <w:rFonts w:ascii="Arial" w:eastAsia="Calibri" w:hAnsi="Arial" w:cs="Arial"/>
          <w:b/>
          <w:sz w:val="20"/>
          <w:szCs w:val="20"/>
        </w:rPr>
        <w:t xml:space="preserve"> punto)</w:t>
      </w:r>
    </w:p>
    <w:p w14:paraId="42CF5486" w14:textId="7F321E67" w:rsidR="00473BEB" w:rsidRDefault="00473BEB" w:rsidP="00350EBC">
      <w:pPr>
        <w:pStyle w:val="Prrafodelista"/>
        <w:widowControl w:val="0"/>
        <w:spacing w:after="0"/>
        <w:ind w:left="690"/>
        <w:jc w:val="both"/>
        <w:rPr>
          <w:rFonts w:ascii="Arial" w:eastAsia="Calibri" w:hAnsi="Arial" w:cs="Arial"/>
          <w:bCs/>
          <w:sz w:val="20"/>
          <w:szCs w:val="20"/>
        </w:rPr>
      </w:pPr>
    </w:p>
    <w:p w14:paraId="40C54416" w14:textId="7E2A7BC5" w:rsidR="00473BEB" w:rsidRDefault="00473BEB" w:rsidP="00350EBC">
      <w:pPr>
        <w:widowControl w:val="0"/>
        <w:spacing w:after="0"/>
        <w:ind w:left="330"/>
        <w:jc w:val="both"/>
        <w:rPr>
          <w:rFonts w:ascii="Arial" w:eastAsia="Calibri" w:hAnsi="Arial" w:cs="Arial"/>
          <w:bCs/>
          <w:sz w:val="20"/>
          <w:szCs w:val="20"/>
        </w:rPr>
      </w:pPr>
      <w:r>
        <w:rPr>
          <w:rFonts w:ascii="Arial" w:eastAsia="Calibri" w:hAnsi="Arial" w:cs="Arial"/>
          <w:bCs/>
          <w:sz w:val="20"/>
          <w:szCs w:val="20"/>
        </w:rPr>
        <w:t xml:space="preserve">a) ¿Fue correcta la decisión de </w:t>
      </w:r>
      <w:proofErr w:type="spellStart"/>
      <w:r>
        <w:rPr>
          <w:rFonts w:ascii="Arial" w:eastAsia="Calibri" w:hAnsi="Arial" w:cs="Arial"/>
          <w:bCs/>
          <w:sz w:val="20"/>
          <w:szCs w:val="20"/>
        </w:rPr>
        <w:t>Piquersa</w:t>
      </w:r>
      <w:proofErr w:type="spellEnd"/>
      <w:r>
        <w:rPr>
          <w:rFonts w:ascii="Arial" w:eastAsia="Calibri" w:hAnsi="Arial" w:cs="Arial"/>
          <w:bCs/>
          <w:sz w:val="20"/>
          <w:szCs w:val="20"/>
        </w:rPr>
        <w:t>? Explica el porqué.</w:t>
      </w:r>
    </w:p>
    <w:p w14:paraId="3EDB384A" w14:textId="12C61F6F" w:rsidR="00473BEB" w:rsidRDefault="00473BEB" w:rsidP="00350EBC">
      <w:pPr>
        <w:widowControl w:val="0"/>
        <w:spacing w:after="0"/>
        <w:ind w:left="330"/>
        <w:jc w:val="both"/>
        <w:rPr>
          <w:rFonts w:ascii="Arial" w:eastAsia="Calibri" w:hAnsi="Arial" w:cs="Arial"/>
          <w:bCs/>
          <w:sz w:val="20"/>
          <w:szCs w:val="20"/>
        </w:rPr>
      </w:pPr>
      <w:r>
        <w:rPr>
          <w:rFonts w:ascii="Arial" w:eastAsia="Calibri" w:hAnsi="Arial" w:cs="Arial"/>
          <w:bCs/>
          <w:sz w:val="20"/>
          <w:szCs w:val="20"/>
        </w:rPr>
        <w:t xml:space="preserve">b)  Determina si esta operación generó beneficios o pérdidas, y cuál fue su valor. </w:t>
      </w:r>
    </w:p>
    <w:p w14:paraId="55B0A84F" w14:textId="7535C75F" w:rsidR="00473BEB" w:rsidRDefault="00473BEB" w:rsidP="00350EBC">
      <w:pPr>
        <w:widowControl w:val="0"/>
        <w:spacing w:after="0"/>
        <w:ind w:left="330"/>
        <w:jc w:val="both"/>
        <w:rPr>
          <w:rFonts w:ascii="Arial" w:eastAsia="Calibri" w:hAnsi="Arial" w:cs="Arial"/>
          <w:bCs/>
          <w:sz w:val="20"/>
          <w:szCs w:val="20"/>
        </w:rPr>
      </w:pPr>
    </w:p>
    <w:p w14:paraId="2B2E7E33" w14:textId="7CE3B9D7" w:rsidR="00473BEB" w:rsidRDefault="009A67A3" w:rsidP="00350EBC">
      <w:pPr>
        <w:pStyle w:val="Prrafodelista"/>
        <w:widowControl w:val="0"/>
        <w:numPr>
          <w:ilvl w:val="0"/>
          <w:numId w:val="3"/>
        </w:numPr>
        <w:spacing w:after="0"/>
        <w:ind w:left="426" w:firstLine="0"/>
        <w:jc w:val="both"/>
        <w:rPr>
          <w:rFonts w:ascii="Arial" w:eastAsia="Calibri" w:hAnsi="Arial" w:cs="Arial"/>
          <w:bCs/>
          <w:sz w:val="20"/>
          <w:szCs w:val="20"/>
        </w:rPr>
      </w:pPr>
      <w:r>
        <w:rPr>
          <w:rFonts w:ascii="Arial" w:eastAsia="Calibri" w:hAnsi="Arial" w:cs="Arial"/>
          <w:bCs/>
          <w:sz w:val="20"/>
          <w:szCs w:val="20"/>
        </w:rPr>
        <w:t xml:space="preserve">En 2020, la ampliación de las instalaciones aeroportuarias en Heathrow aprobadas por el Parlamento británico se presupuestaron en 14.000 millones de libras esterlinas. Hipótesis: el accionista mayoritario, la compañía española Ferrovial, financia el 75% de las obras gracias a un préstamo concedido por un consorcio bancario a 10 años, un tipo de interés variable con cobertura </w:t>
      </w:r>
      <w:proofErr w:type="spellStart"/>
      <w:r>
        <w:rPr>
          <w:rFonts w:ascii="Arial" w:eastAsia="Calibri" w:hAnsi="Arial" w:cs="Arial"/>
          <w:bCs/>
          <w:sz w:val="20"/>
          <w:szCs w:val="20"/>
        </w:rPr>
        <w:t>cap</w:t>
      </w:r>
      <w:proofErr w:type="spellEnd"/>
      <w:r>
        <w:rPr>
          <w:rFonts w:ascii="Arial" w:eastAsia="Calibri" w:hAnsi="Arial" w:cs="Arial"/>
          <w:bCs/>
          <w:sz w:val="20"/>
          <w:szCs w:val="20"/>
        </w:rPr>
        <w:t xml:space="preserve"> con techo del 1,25%, una prima del 1,5% y un diferencial a favor del banco del 1, 8%.</w:t>
      </w:r>
      <w:r w:rsidR="00815F2F">
        <w:rPr>
          <w:rFonts w:ascii="Arial" w:eastAsia="Calibri" w:hAnsi="Arial" w:cs="Arial"/>
          <w:bCs/>
          <w:sz w:val="20"/>
          <w:szCs w:val="20"/>
        </w:rPr>
        <w:t xml:space="preserve"> </w:t>
      </w:r>
      <w:r w:rsidR="00815F2F" w:rsidRPr="004927E6">
        <w:rPr>
          <w:rFonts w:ascii="Arial" w:eastAsia="Calibri" w:hAnsi="Arial" w:cs="Arial"/>
          <w:b/>
          <w:sz w:val="20"/>
          <w:szCs w:val="20"/>
        </w:rPr>
        <w:t>(1</w:t>
      </w:r>
      <w:r w:rsidR="00AF40DA" w:rsidRPr="004927E6">
        <w:rPr>
          <w:rFonts w:ascii="Arial" w:eastAsia="Calibri" w:hAnsi="Arial" w:cs="Arial"/>
          <w:b/>
          <w:sz w:val="20"/>
          <w:szCs w:val="20"/>
        </w:rPr>
        <w:t>,5</w:t>
      </w:r>
      <w:r w:rsidR="00815F2F" w:rsidRPr="004927E6">
        <w:rPr>
          <w:rFonts w:ascii="Arial" w:eastAsia="Calibri" w:hAnsi="Arial" w:cs="Arial"/>
          <w:b/>
          <w:sz w:val="20"/>
          <w:szCs w:val="20"/>
        </w:rPr>
        <w:t xml:space="preserve"> punto)</w:t>
      </w:r>
    </w:p>
    <w:p w14:paraId="09929F8C" w14:textId="77777777" w:rsidR="009A67A3" w:rsidRDefault="009A67A3" w:rsidP="00350EBC">
      <w:pPr>
        <w:pStyle w:val="Prrafodelista"/>
        <w:widowControl w:val="0"/>
        <w:spacing w:after="0"/>
        <w:ind w:left="426"/>
        <w:jc w:val="both"/>
        <w:rPr>
          <w:rFonts w:ascii="Arial" w:eastAsia="Calibri" w:hAnsi="Arial" w:cs="Arial"/>
          <w:bCs/>
          <w:sz w:val="20"/>
          <w:szCs w:val="20"/>
        </w:rPr>
      </w:pPr>
    </w:p>
    <w:p w14:paraId="3D18874D" w14:textId="7F1F4FCD" w:rsidR="009A67A3" w:rsidRDefault="009A67A3" w:rsidP="00350EBC">
      <w:pPr>
        <w:pStyle w:val="Prrafodelista"/>
        <w:widowControl w:val="0"/>
        <w:numPr>
          <w:ilvl w:val="0"/>
          <w:numId w:val="4"/>
        </w:numPr>
        <w:spacing w:after="0"/>
        <w:ind w:left="426" w:firstLine="0"/>
        <w:jc w:val="both"/>
        <w:rPr>
          <w:rFonts w:ascii="Arial" w:eastAsia="Calibri" w:hAnsi="Arial" w:cs="Arial"/>
          <w:bCs/>
          <w:sz w:val="20"/>
          <w:szCs w:val="20"/>
        </w:rPr>
      </w:pPr>
      <w:r>
        <w:rPr>
          <w:rFonts w:ascii="Arial" w:eastAsia="Calibri" w:hAnsi="Arial" w:cs="Arial"/>
          <w:bCs/>
          <w:sz w:val="20"/>
          <w:szCs w:val="20"/>
        </w:rPr>
        <w:t>Plantea qué ocurriría en un escenario financiero en el cual los tipos de interés fueron escalando a lo largo de los diez años a razón de 0,30% anual.</w:t>
      </w:r>
    </w:p>
    <w:p w14:paraId="1B7C002C" w14:textId="78EE0D34" w:rsidR="009A67A3" w:rsidRDefault="009A67A3" w:rsidP="00350EBC">
      <w:pPr>
        <w:pStyle w:val="Prrafodelista"/>
        <w:widowControl w:val="0"/>
        <w:numPr>
          <w:ilvl w:val="0"/>
          <w:numId w:val="4"/>
        </w:numPr>
        <w:spacing w:after="0"/>
        <w:ind w:left="426" w:firstLine="0"/>
        <w:jc w:val="both"/>
        <w:rPr>
          <w:rFonts w:ascii="Arial" w:eastAsia="Calibri" w:hAnsi="Arial" w:cs="Arial"/>
          <w:bCs/>
          <w:sz w:val="20"/>
          <w:szCs w:val="20"/>
        </w:rPr>
      </w:pPr>
      <w:r>
        <w:rPr>
          <w:rFonts w:ascii="Arial" w:eastAsia="Calibri" w:hAnsi="Arial" w:cs="Arial"/>
          <w:bCs/>
          <w:sz w:val="20"/>
          <w:szCs w:val="20"/>
        </w:rPr>
        <w:t xml:space="preserve">Compara los resultados financieros con cobertura </w:t>
      </w:r>
      <w:proofErr w:type="spellStart"/>
      <w:r>
        <w:rPr>
          <w:rFonts w:ascii="Arial" w:eastAsia="Calibri" w:hAnsi="Arial" w:cs="Arial"/>
          <w:bCs/>
          <w:sz w:val="20"/>
          <w:szCs w:val="20"/>
        </w:rPr>
        <w:t>cap</w:t>
      </w:r>
      <w:proofErr w:type="spellEnd"/>
      <w:r>
        <w:rPr>
          <w:rFonts w:ascii="Arial" w:eastAsia="Calibri" w:hAnsi="Arial" w:cs="Arial"/>
          <w:bCs/>
          <w:sz w:val="20"/>
          <w:szCs w:val="20"/>
        </w:rPr>
        <w:t xml:space="preserve"> y sin cobertura cap.</w:t>
      </w:r>
    </w:p>
    <w:p w14:paraId="5F7D6AB1" w14:textId="77777777" w:rsidR="001D1088" w:rsidRPr="001D1088" w:rsidRDefault="001D1088" w:rsidP="00350EBC">
      <w:pPr>
        <w:widowControl w:val="0"/>
        <w:spacing w:after="0"/>
        <w:jc w:val="both"/>
        <w:rPr>
          <w:rFonts w:ascii="Arial" w:eastAsia="Calibri" w:hAnsi="Arial" w:cs="Arial"/>
          <w:bCs/>
          <w:sz w:val="20"/>
          <w:szCs w:val="20"/>
        </w:rPr>
      </w:pPr>
    </w:p>
    <w:p w14:paraId="4E0D0610" w14:textId="3C607B3B" w:rsidR="009A67A3" w:rsidRDefault="001D1088" w:rsidP="00350EBC">
      <w:pPr>
        <w:pStyle w:val="Prrafodelista"/>
        <w:widowControl w:val="0"/>
        <w:numPr>
          <w:ilvl w:val="0"/>
          <w:numId w:val="3"/>
        </w:numPr>
        <w:spacing w:after="0"/>
        <w:ind w:left="0" w:firstLine="330"/>
        <w:jc w:val="both"/>
        <w:rPr>
          <w:rFonts w:ascii="Arial" w:eastAsia="Calibri" w:hAnsi="Arial" w:cs="Arial"/>
          <w:bCs/>
          <w:sz w:val="20"/>
          <w:szCs w:val="20"/>
        </w:rPr>
      </w:pPr>
      <w:r w:rsidRPr="001D1088">
        <w:rPr>
          <w:rFonts w:ascii="Arial" w:eastAsia="Calibri" w:hAnsi="Arial" w:cs="Arial"/>
          <w:bCs/>
          <w:sz w:val="20"/>
          <w:szCs w:val="20"/>
        </w:rPr>
        <w:t xml:space="preserve">Un exportador de equipos de </w:t>
      </w:r>
      <w:proofErr w:type="spellStart"/>
      <w:r w:rsidRPr="001D1088">
        <w:rPr>
          <w:rFonts w:ascii="Arial" w:eastAsia="Calibri" w:hAnsi="Arial" w:cs="Arial"/>
          <w:bCs/>
          <w:sz w:val="20"/>
          <w:szCs w:val="20"/>
        </w:rPr>
        <w:t>nergías</w:t>
      </w:r>
      <w:proofErr w:type="spellEnd"/>
      <w:r w:rsidRPr="001D1088">
        <w:rPr>
          <w:rFonts w:ascii="Arial" w:eastAsia="Calibri" w:hAnsi="Arial" w:cs="Arial"/>
          <w:bCs/>
          <w:sz w:val="20"/>
          <w:szCs w:val="20"/>
        </w:rPr>
        <w:t xml:space="preserve"> alternativas emite una factura de 3.900.00 dólares por una venta e instalación a su principal cliente en Chile a fecha de 1 de abril, con vencimiento a 90 días. Dado que para obtener los beneficios previstos en función de los costes debería vender los dólares a un mínimo de 0, 89744 </w:t>
      </w:r>
      <w:r>
        <w:rPr>
          <w:rFonts w:ascii="Arial" w:eastAsia="Calibri" w:hAnsi="Arial" w:cs="Arial"/>
          <w:bCs/>
          <w:sz w:val="20"/>
          <w:szCs w:val="20"/>
        </w:rPr>
        <w:t>USD/EUR, opta por asegurar este tipo de cambio y consolidar la operación. El cambio a fecha 1 de abril es de 0,88505.</w:t>
      </w:r>
      <w:r w:rsidR="007243D7">
        <w:rPr>
          <w:rFonts w:ascii="Arial" w:eastAsia="Calibri" w:hAnsi="Arial" w:cs="Arial"/>
          <w:bCs/>
          <w:sz w:val="20"/>
          <w:szCs w:val="20"/>
        </w:rPr>
        <w:t xml:space="preserve"> </w:t>
      </w:r>
      <w:r w:rsidR="007243D7" w:rsidRPr="004927E6">
        <w:rPr>
          <w:rFonts w:ascii="Arial" w:eastAsia="Calibri" w:hAnsi="Arial" w:cs="Arial"/>
          <w:b/>
          <w:sz w:val="20"/>
          <w:szCs w:val="20"/>
        </w:rPr>
        <w:t>(1 punto)</w:t>
      </w:r>
    </w:p>
    <w:p w14:paraId="4A4FDA88" w14:textId="77777777" w:rsidR="001D1088" w:rsidRPr="001D1088" w:rsidRDefault="001D1088" w:rsidP="00350EBC">
      <w:pPr>
        <w:widowControl w:val="0"/>
        <w:spacing w:after="0"/>
        <w:ind w:firstLine="330"/>
        <w:jc w:val="both"/>
        <w:rPr>
          <w:rFonts w:ascii="Arial" w:eastAsia="Calibri" w:hAnsi="Arial" w:cs="Arial"/>
          <w:bCs/>
          <w:sz w:val="20"/>
          <w:szCs w:val="20"/>
        </w:rPr>
      </w:pPr>
    </w:p>
    <w:p w14:paraId="4708FE95" w14:textId="607378CB" w:rsidR="001D1088" w:rsidRDefault="001D1088" w:rsidP="00350EBC">
      <w:pPr>
        <w:pStyle w:val="Prrafodelista"/>
        <w:widowControl w:val="0"/>
        <w:numPr>
          <w:ilvl w:val="0"/>
          <w:numId w:val="5"/>
        </w:numPr>
        <w:spacing w:after="0"/>
        <w:ind w:left="0" w:firstLine="330"/>
        <w:jc w:val="both"/>
        <w:rPr>
          <w:rFonts w:ascii="Arial" w:eastAsia="Calibri" w:hAnsi="Arial" w:cs="Arial"/>
          <w:bCs/>
          <w:sz w:val="20"/>
          <w:szCs w:val="20"/>
        </w:rPr>
      </w:pPr>
      <w:r>
        <w:rPr>
          <w:rFonts w:ascii="Arial" w:eastAsia="Calibri" w:hAnsi="Arial" w:cs="Arial"/>
          <w:bCs/>
          <w:sz w:val="20"/>
          <w:szCs w:val="20"/>
        </w:rPr>
        <w:t xml:space="preserve">¿Cuál es el tipo de cambio expresado en </w:t>
      </w:r>
      <w:proofErr w:type="spellStart"/>
      <w:r>
        <w:rPr>
          <w:rFonts w:ascii="Arial" w:eastAsia="Calibri" w:hAnsi="Arial" w:cs="Arial"/>
          <w:bCs/>
          <w:sz w:val="20"/>
          <w:szCs w:val="20"/>
        </w:rPr>
        <w:t>Eur</w:t>
      </w:r>
      <w:proofErr w:type="spellEnd"/>
      <w:r>
        <w:rPr>
          <w:rFonts w:ascii="Arial" w:eastAsia="Calibri" w:hAnsi="Arial" w:cs="Arial"/>
          <w:bCs/>
          <w:sz w:val="20"/>
          <w:szCs w:val="20"/>
        </w:rPr>
        <w:t>/USD que ha pactado para la fecha de vencimiento?</w:t>
      </w:r>
    </w:p>
    <w:p w14:paraId="48EDF02B" w14:textId="07F1EE9B" w:rsidR="001D1088" w:rsidRDefault="001D1088" w:rsidP="00350EBC">
      <w:pPr>
        <w:pStyle w:val="Prrafodelista"/>
        <w:widowControl w:val="0"/>
        <w:numPr>
          <w:ilvl w:val="0"/>
          <w:numId w:val="5"/>
        </w:numPr>
        <w:spacing w:after="0"/>
        <w:ind w:left="0" w:firstLine="330"/>
        <w:jc w:val="both"/>
        <w:rPr>
          <w:rFonts w:ascii="Arial" w:eastAsia="Calibri" w:hAnsi="Arial" w:cs="Arial"/>
          <w:bCs/>
          <w:sz w:val="20"/>
          <w:szCs w:val="20"/>
        </w:rPr>
      </w:pPr>
      <w:r>
        <w:rPr>
          <w:rFonts w:ascii="Arial" w:eastAsia="Calibri" w:hAnsi="Arial" w:cs="Arial"/>
          <w:bCs/>
          <w:sz w:val="20"/>
          <w:szCs w:val="20"/>
        </w:rPr>
        <w:t>¿A cuánto ascienden los ingresos de esta operación, expresados en euros?</w:t>
      </w:r>
    </w:p>
    <w:p w14:paraId="675B729E" w14:textId="237AF753" w:rsidR="001D1088" w:rsidRDefault="001D1088" w:rsidP="00350EBC">
      <w:pPr>
        <w:pStyle w:val="Prrafodelista"/>
        <w:widowControl w:val="0"/>
        <w:numPr>
          <w:ilvl w:val="0"/>
          <w:numId w:val="5"/>
        </w:numPr>
        <w:spacing w:after="0"/>
        <w:ind w:left="0" w:firstLine="330"/>
        <w:jc w:val="both"/>
        <w:rPr>
          <w:rFonts w:ascii="Arial" w:eastAsia="Calibri" w:hAnsi="Arial" w:cs="Arial"/>
          <w:bCs/>
          <w:sz w:val="20"/>
          <w:szCs w:val="20"/>
        </w:rPr>
      </w:pPr>
      <w:r>
        <w:rPr>
          <w:rFonts w:ascii="Arial" w:eastAsia="Calibri" w:hAnsi="Arial" w:cs="Arial"/>
          <w:bCs/>
          <w:sz w:val="20"/>
          <w:szCs w:val="20"/>
        </w:rPr>
        <w:t>En este período, ¿el euro se ha depreciado o se ha apreciado? ¿Por qué?</w:t>
      </w:r>
    </w:p>
    <w:p w14:paraId="3F6EF0FC" w14:textId="76CE5234" w:rsidR="001D1088" w:rsidRDefault="001D1088" w:rsidP="00350EBC">
      <w:pPr>
        <w:pStyle w:val="Prrafodelista"/>
        <w:widowControl w:val="0"/>
        <w:numPr>
          <w:ilvl w:val="0"/>
          <w:numId w:val="5"/>
        </w:numPr>
        <w:spacing w:after="0"/>
        <w:ind w:left="0" w:firstLine="330"/>
        <w:jc w:val="both"/>
        <w:rPr>
          <w:rFonts w:ascii="Arial" w:eastAsia="Calibri" w:hAnsi="Arial" w:cs="Arial"/>
          <w:bCs/>
          <w:sz w:val="20"/>
          <w:szCs w:val="20"/>
        </w:rPr>
      </w:pPr>
      <w:r>
        <w:rPr>
          <w:rFonts w:ascii="Arial" w:eastAsia="Calibri" w:hAnsi="Arial" w:cs="Arial"/>
          <w:bCs/>
          <w:sz w:val="20"/>
          <w:szCs w:val="20"/>
        </w:rPr>
        <w:t>Y el dólar, ¿se ha apreciado o se ha depreciado?</w:t>
      </w:r>
    </w:p>
    <w:p w14:paraId="6434964A" w14:textId="3355F1E8" w:rsidR="001D1088" w:rsidRDefault="001D1088" w:rsidP="00350EBC">
      <w:pPr>
        <w:pStyle w:val="Prrafodelista"/>
        <w:widowControl w:val="0"/>
        <w:numPr>
          <w:ilvl w:val="0"/>
          <w:numId w:val="5"/>
        </w:numPr>
        <w:spacing w:after="0"/>
        <w:ind w:left="0" w:firstLine="330"/>
        <w:jc w:val="both"/>
        <w:rPr>
          <w:rFonts w:ascii="Arial" w:eastAsia="Calibri" w:hAnsi="Arial" w:cs="Arial"/>
          <w:bCs/>
          <w:sz w:val="20"/>
          <w:szCs w:val="20"/>
        </w:rPr>
      </w:pPr>
      <w:r>
        <w:rPr>
          <w:rFonts w:ascii="Arial" w:eastAsia="Calibri" w:hAnsi="Arial" w:cs="Arial"/>
          <w:bCs/>
          <w:sz w:val="20"/>
          <w:szCs w:val="20"/>
        </w:rPr>
        <w:t>En caso de no contratar el seguro, ¿qué hubiera ocurrido? ¿Por qué?</w:t>
      </w:r>
    </w:p>
    <w:p w14:paraId="032E1FF6" w14:textId="3F2D5842" w:rsidR="001D1088" w:rsidRDefault="001D1088" w:rsidP="00350EBC">
      <w:pPr>
        <w:widowControl w:val="0"/>
        <w:spacing w:after="0"/>
        <w:jc w:val="both"/>
        <w:rPr>
          <w:rFonts w:ascii="Arial" w:eastAsia="Calibri" w:hAnsi="Arial" w:cs="Arial"/>
          <w:bCs/>
          <w:sz w:val="20"/>
          <w:szCs w:val="20"/>
        </w:rPr>
      </w:pPr>
    </w:p>
    <w:p w14:paraId="499FA674" w14:textId="16AB10F0" w:rsidR="001D1088" w:rsidRDefault="008E24D0" w:rsidP="00350EBC">
      <w:pPr>
        <w:pStyle w:val="Prrafodelista"/>
        <w:widowControl w:val="0"/>
        <w:numPr>
          <w:ilvl w:val="0"/>
          <w:numId w:val="3"/>
        </w:numPr>
        <w:spacing w:after="0"/>
        <w:jc w:val="both"/>
        <w:rPr>
          <w:rFonts w:ascii="Arial" w:eastAsia="Calibri" w:hAnsi="Arial" w:cs="Arial"/>
          <w:bCs/>
          <w:sz w:val="20"/>
          <w:szCs w:val="20"/>
        </w:rPr>
      </w:pPr>
      <w:r>
        <w:rPr>
          <w:rFonts w:ascii="Arial" w:eastAsia="Calibri" w:hAnsi="Arial" w:cs="Arial"/>
          <w:bCs/>
          <w:sz w:val="20"/>
          <w:szCs w:val="20"/>
        </w:rPr>
        <w:t>¿Cuál será el montante de un capital de 10.000 euros al 12% de interés colocado durante los siguientes períodos de tiempo?</w:t>
      </w:r>
      <w:r w:rsidR="00AF40DA">
        <w:rPr>
          <w:rFonts w:ascii="Arial" w:eastAsia="Calibri" w:hAnsi="Arial" w:cs="Arial"/>
          <w:bCs/>
          <w:sz w:val="20"/>
          <w:szCs w:val="20"/>
        </w:rPr>
        <w:t xml:space="preserve"> (1 punto)</w:t>
      </w:r>
    </w:p>
    <w:p w14:paraId="3B056B51" w14:textId="427D8E06"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6 meses</w:t>
      </w:r>
    </w:p>
    <w:p w14:paraId="65BE4DED" w14:textId="3CDD29AC"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5 cuatrimestres</w:t>
      </w:r>
    </w:p>
    <w:p w14:paraId="0B9491C4" w14:textId="69666254"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2 trimestres</w:t>
      </w:r>
    </w:p>
    <w:p w14:paraId="17D7282E" w14:textId="7F7EFF08"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3 bimestres</w:t>
      </w:r>
    </w:p>
    <w:p w14:paraId="460ACC71" w14:textId="428E99F6"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8 meses</w:t>
      </w:r>
    </w:p>
    <w:p w14:paraId="73B5429D" w14:textId="3AA2D03E"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13 semanas</w:t>
      </w:r>
    </w:p>
    <w:p w14:paraId="131BB231" w14:textId="2DDA02E9" w:rsidR="008E24D0" w:rsidRDefault="008E24D0" w:rsidP="00350EBC">
      <w:pPr>
        <w:pStyle w:val="Prrafodelista"/>
        <w:widowControl w:val="0"/>
        <w:numPr>
          <w:ilvl w:val="0"/>
          <w:numId w:val="6"/>
        </w:numPr>
        <w:spacing w:after="0"/>
        <w:ind w:left="709"/>
        <w:jc w:val="both"/>
        <w:rPr>
          <w:rFonts w:ascii="Arial" w:eastAsia="Calibri" w:hAnsi="Arial" w:cs="Arial"/>
          <w:bCs/>
          <w:sz w:val="20"/>
          <w:szCs w:val="20"/>
        </w:rPr>
      </w:pPr>
      <w:r>
        <w:rPr>
          <w:rFonts w:ascii="Arial" w:eastAsia="Calibri" w:hAnsi="Arial" w:cs="Arial"/>
          <w:bCs/>
          <w:sz w:val="20"/>
          <w:szCs w:val="20"/>
        </w:rPr>
        <w:t>150 días</w:t>
      </w:r>
    </w:p>
    <w:p w14:paraId="1FAE6682" w14:textId="0E98E96A" w:rsidR="008E24D0" w:rsidRDefault="008E24D0" w:rsidP="00350EBC">
      <w:pPr>
        <w:widowControl w:val="0"/>
        <w:spacing w:after="0"/>
        <w:jc w:val="both"/>
        <w:rPr>
          <w:rFonts w:ascii="Arial" w:eastAsia="Calibri" w:hAnsi="Arial" w:cs="Arial"/>
          <w:bCs/>
          <w:sz w:val="20"/>
          <w:szCs w:val="20"/>
        </w:rPr>
      </w:pPr>
    </w:p>
    <w:p w14:paraId="1B3F3FEE" w14:textId="5A080702" w:rsidR="008E24D0" w:rsidRPr="00905CAE" w:rsidRDefault="00AF40DA" w:rsidP="00350EBC">
      <w:pPr>
        <w:pStyle w:val="Prrafodelista"/>
        <w:widowControl w:val="0"/>
        <w:numPr>
          <w:ilvl w:val="0"/>
          <w:numId w:val="3"/>
        </w:numPr>
        <w:spacing w:after="0"/>
        <w:ind w:left="0" w:firstLine="426"/>
        <w:jc w:val="both"/>
        <w:rPr>
          <w:rFonts w:ascii="Arial" w:eastAsia="Calibri" w:hAnsi="Arial" w:cs="Arial"/>
          <w:b/>
          <w:sz w:val="20"/>
          <w:szCs w:val="20"/>
        </w:rPr>
      </w:pPr>
      <w:r>
        <w:rPr>
          <w:rFonts w:ascii="Arial" w:eastAsia="Calibri" w:hAnsi="Arial" w:cs="Arial"/>
          <w:bCs/>
          <w:sz w:val="20"/>
          <w:szCs w:val="20"/>
        </w:rPr>
        <w:t xml:space="preserve">Lámparas Españolas Herma, SA, ubicada en Valencia, importa regularmente desde China placas indicadoras y luminosas que incorpora a su </w:t>
      </w:r>
      <w:proofErr w:type="spellStart"/>
      <w:r>
        <w:rPr>
          <w:rFonts w:ascii="Arial" w:eastAsia="Calibri" w:hAnsi="Arial" w:cs="Arial"/>
          <w:bCs/>
          <w:sz w:val="20"/>
          <w:szCs w:val="20"/>
        </w:rPr>
        <w:t>catálago</w:t>
      </w:r>
      <w:proofErr w:type="spellEnd"/>
      <w:r>
        <w:rPr>
          <w:rFonts w:ascii="Arial" w:eastAsia="Calibri" w:hAnsi="Arial" w:cs="Arial"/>
          <w:bCs/>
          <w:sz w:val="20"/>
          <w:szCs w:val="20"/>
        </w:rPr>
        <w:t>. Para obtener los mejores precios</w:t>
      </w:r>
      <w:r w:rsidR="004927E6">
        <w:rPr>
          <w:rFonts w:ascii="Arial" w:eastAsia="Calibri" w:hAnsi="Arial" w:cs="Arial"/>
          <w:bCs/>
          <w:sz w:val="20"/>
          <w:szCs w:val="20"/>
        </w:rPr>
        <w:t xml:space="preserve"> y ofrecer una imagen solvente, conviene con el proveedor chino el pago al contado. En esta ocasión, la factura </w:t>
      </w:r>
      <w:proofErr w:type="spellStart"/>
      <w:r w:rsidR="004927E6">
        <w:rPr>
          <w:rFonts w:ascii="Arial" w:eastAsia="Calibri" w:hAnsi="Arial" w:cs="Arial"/>
          <w:bCs/>
          <w:sz w:val="20"/>
          <w:szCs w:val="20"/>
        </w:rPr>
        <w:t>profroma</w:t>
      </w:r>
      <w:proofErr w:type="spellEnd"/>
      <w:r w:rsidR="004927E6">
        <w:rPr>
          <w:rFonts w:ascii="Arial" w:eastAsia="Calibri" w:hAnsi="Arial" w:cs="Arial"/>
          <w:bCs/>
          <w:sz w:val="20"/>
          <w:szCs w:val="20"/>
        </w:rPr>
        <w:t xml:space="preserve"> indica un coste total de la importación que debe producirse de 500.000 euros. Herma presenta el contrato y la factura proforma, y solicita un préstamo directamente vinculado con esta operación, con vencimiento a un año, al tipo de interés euríbor (0%) más dos puntos (2%) de diferencial como </w:t>
      </w:r>
      <w:proofErr w:type="gramStart"/>
      <w:r w:rsidR="004927E6">
        <w:rPr>
          <w:rFonts w:ascii="Arial" w:eastAsia="Calibri" w:hAnsi="Arial" w:cs="Arial"/>
          <w:bCs/>
          <w:sz w:val="20"/>
          <w:szCs w:val="20"/>
        </w:rPr>
        <w:t>beneficio  b</w:t>
      </w:r>
      <w:r w:rsidR="00905CAE">
        <w:rPr>
          <w:rFonts w:ascii="Arial" w:eastAsia="Calibri" w:hAnsi="Arial" w:cs="Arial"/>
          <w:bCs/>
          <w:sz w:val="20"/>
          <w:szCs w:val="20"/>
        </w:rPr>
        <w:t>a</w:t>
      </w:r>
      <w:r w:rsidR="004927E6">
        <w:rPr>
          <w:rFonts w:ascii="Arial" w:eastAsia="Calibri" w:hAnsi="Arial" w:cs="Arial"/>
          <w:bCs/>
          <w:sz w:val="20"/>
          <w:szCs w:val="20"/>
        </w:rPr>
        <w:t>ncario</w:t>
      </w:r>
      <w:proofErr w:type="gramEnd"/>
      <w:r w:rsidR="00905CAE">
        <w:rPr>
          <w:rFonts w:ascii="Arial" w:eastAsia="Calibri" w:hAnsi="Arial" w:cs="Arial"/>
          <w:bCs/>
          <w:sz w:val="20"/>
          <w:szCs w:val="20"/>
        </w:rPr>
        <w:t xml:space="preserve">. </w:t>
      </w:r>
      <w:r w:rsidR="00905CAE" w:rsidRPr="00905CAE">
        <w:rPr>
          <w:rFonts w:ascii="Arial" w:eastAsia="Calibri" w:hAnsi="Arial" w:cs="Arial"/>
          <w:b/>
          <w:sz w:val="20"/>
          <w:szCs w:val="20"/>
        </w:rPr>
        <w:t>(1 punto)</w:t>
      </w:r>
    </w:p>
    <w:p w14:paraId="6033EAE3" w14:textId="4A3C9E69" w:rsidR="004927E6" w:rsidRDefault="004927E6" w:rsidP="00350EBC">
      <w:pPr>
        <w:pStyle w:val="Prrafodelista"/>
        <w:widowControl w:val="0"/>
        <w:spacing w:after="0"/>
        <w:ind w:left="0" w:firstLine="426"/>
        <w:jc w:val="both"/>
        <w:rPr>
          <w:rFonts w:ascii="Arial" w:eastAsia="Calibri" w:hAnsi="Arial" w:cs="Arial"/>
          <w:bCs/>
          <w:sz w:val="20"/>
          <w:szCs w:val="20"/>
        </w:rPr>
      </w:pPr>
      <w:r>
        <w:rPr>
          <w:rFonts w:ascii="Arial" w:eastAsia="Calibri" w:hAnsi="Arial" w:cs="Arial"/>
          <w:bCs/>
          <w:sz w:val="20"/>
          <w:szCs w:val="20"/>
        </w:rPr>
        <w:t>Se pide:</w:t>
      </w:r>
    </w:p>
    <w:p w14:paraId="129609C6" w14:textId="6E233DEC" w:rsidR="00517867" w:rsidRDefault="00517867" w:rsidP="00350EBC">
      <w:pPr>
        <w:pStyle w:val="Prrafodelista"/>
        <w:widowControl w:val="0"/>
        <w:numPr>
          <w:ilvl w:val="0"/>
          <w:numId w:val="7"/>
        </w:numPr>
        <w:spacing w:after="0"/>
        <w:ind w:left="0" w:firstLine="426"/>
        <w:jc w:val="both"/>
        <w:rPr>
          <w:rFonts w:ascii="Arial" w:eastAsia="Calibri" w:hAnsi="Arial" w:cs="Arial"/>
          <w:bCs/>
          <w:sz w:val="20"/>
          <w:szCs w:val="20"/>
        </w:rPr>
      </w:pPr>
      <w:r>
        <w:rPr>
          <w:rFonts w:ascii="Arial" w:eastAsia="Calibri" w:hAnsi="Arial" w:cs="Arial"/>
          <w:bCs/>
          <w:sz w:val="20"/>
          <w:szCs w:val="20"/>
        </w:rPr>
        <w:t>Calcular el coste de la operación en un año.</w:t>
      </w:r>
    </w:p>
    <w:p w14:paraId="590B88A9" w14:textId="77777777" w:rsidR="00905CAE" w:rsidRDefault="00905CAE" w:rsidP="00350EBC">
      <w:pPr>
        <w:pStyle w:val="Prrafodelista"/>
        <w:widowControl w:val="0"/>
        <w:spacing w:after="0"/>
        <w:ind w:left="426"/>
        <w:jc w:val="both"/>
        <w:rPr>
          <w:rFonts w:ascii="Arial" w:eastAsia="Calibri" w:hAnsi="Arial" w:cs="Arial"/>
          <w:bCs/>
          <w:sz w:val="20"/>
          <w:szCs w:val="20"/>
        </w:rPr>
      </w:pPr>
    </w:p>
    <w:p w14:paraId="194F4BEE" w14:textId="3070B2CF" w:rsidR="00517867" w:rsidRDefault="00517867" w:rsidP="00350EBC">
      <w:pPr>
        <w:widowControl w:val="0"/>
        <w:spacing w:after="0"/>
        <w:ind w:firstLine="426"/>
        <w:jc w:val="both"/>
        <w:rPr>
          <w:rFonts w:ascii="Arial" w:eastAsia="Calibri" w:hAnsi="Arial" w:cs="Arial"/>
          <w:bCs/>
          <w:sz w:val="20"/>
          <w:szCs w:val="20"/>
        </w:rPr>
      </w:pPr>
      <w:r>
        <w:rPr>
          <w:rFonts w:ascii="Arial" w:eastAsia="Calibri" w:hAnsi="Arial" w:cs="Arial"/>
          <w:bCs/>
          <w:sz w:val="20"/>
          <w:szCs w:val="20"/>
        </w:rPr>
        <w:t>Para esta misma empresa, el banco anuncia una comisión de apertura de 0,5% y otra comisión de estudio del 0,5% que cargará en la misma fecha de disposición, porque Herma indica que se incluyan estas comisiones en el nominal del préstamo, a fin de disponer del capital íntegramente. Considera, por otra parte, innecesario financiar la importación a un año y cree que con nueve meses es suficiente.</w:t>
      </w:r>
    </w:p>
    <w:p w14:paraId="6E887674" w14:textId="3FDDD381" w:rsidR="00517867" w:rsidRDefault="00517867" w:rsidP="00350EBC">
      <w:pPr>
        <w:widowControl w:val="0"/>
        <w:spacing w:after="0"/>
        <w:ind w:firstLine="426"/>
        <w:jc w:val="both"/>
        <w:rPr>
          <w:rFonts w:ascii="Arial" w:eastAsia="Calibri" w:hAnsi="Arial" w:cs="Arial"/>
          <w:bCs/>
          <w:sz w:val="20"/>
          <w:szCs w:val="20"/>
        </w:rPr>
      </w:pPr>
      <w:r>
        <w:rPr>
          <w:rFonts w:ascii="Arial" w:eastAsia="Calibri" w:hAnsi="Arial" w:cs="Arial"/>
          <w:bCs/>
          <w:sz w:val="20"/>
          <w:szCs w:val="20"/>
        </w:rPr>
        <w:t xml:space="preserve">Se pide: </w:t>
      </w:r>
    </w:p>
    <w:p w14:paraId="3C07E18B" w14:textId="628EE8B6" w:rsidR="00905CAE" w:rsidRDefault="00905CAE" w:rsidP="00350EBC">
      <w:pPr>
        <w:pStyle w:val="Prrafodelista"/>
        <w:widowControl w:val="0"/>
        <w:numPr>
          <w:ilvl w:val="0"/>
          <w:numId w:val="8"/>
        </w:numPr>
        <w:spacing w:after="0"/>
        <w:jc w:val="both"/>
        <w:rPr>
          <w:rFonts w:ascii="Arial" w:eastAsia="Calibri" w:hAnsi="Arial" w:cs="Arial"/>
          <w:bCs/>
          <w:sz w:val="20"/>
          <w:szCs w:val="20"/>
        </w:rPr>
      </w:pPr>
      <w:r>
        <w:rPr>
          <w:rFonts w:ascii="Arial" w:eastAsia="Calibri" w:hAnsi="Arial" w:cs="Arial"/>
          <w:bCs/>
          <w:sz w:val="20"/>
          <w:szCs w:val="20"/>
        </w:rPr>
        <w:t>Calcular el coste financiero total de la importación.</w:t>
      </w:r>
    </w:p>
    <w:p w14:paraId="1F8289C1" w14:textId="5C2804D3" w:rsidR="00905CAE" w:rsidRDefault="00905CAE" w:rsidP="00350EBC">
      <w:pPr>
        <w:pStyle w:val="Prrafodelista"/>
        <w:widowControl w:val="0"/>
        <w:numPr>
          <w:ilvl w:val="0"/>
          <w:numId w:val="8"/>
        </w:numPr>
        <w:spacing w:after="0"/>
        <w:jc w:val="both"/>
        <w:rPr>
          <w:rFonts w:ascii="Arial" w:eastAsia="Calibri" w:hAnsi="Arial" w:cs="Arial"/>
          <w:bCs/>
          <w:sz w:val="20"/>
          <w:szCs w:val="20"/>
        </w:rPr>
      </w:pPr>
      <w:r>
        <w:rPr>
          <w:rFonts w:ascii="Arial" w:eastAsia="Calibri" w:hAnsi="Arial" w:cs="Arial"/>
          <w:bCs/>
          <w:sz w:val="20"/>
          <w:szCs w:val="20"/>
        </w:rPr>
        <w:t>¿Qué porcentaje representa?</w:t>
      </w:r>
    </w:p>
    <w:p w14:paraId="064DF4BD" w14:textId="77777777" w:rsidR="00905CAE" w:rsidRDefault="00905CAE" w:rsidP="00350EBC">
      <w:pPr>
        <w:pStyle w:val="Prrafodelista"/>
        <w:widowControl w:val="0"/>
        <w:spacing w:after="0"/>
        <w:ind w:left="786"/>
        <w:jc w:val="both"/>
        <w:rPr>
          <w:rFonts w:ascii="Arial" w:eastAsia="Calibri" w:hAnsi="Arial" w:cs="Arial"/>
          <w:bCs/>
          <w:sz w:val="20"/>
          <w:szCs w:val="20"/>
        </w:rPr>
      </w:pPr>
    </w:p>
    <w:p w14:paraId="56060462" w14:textId="0E42C0FA" w:rsidR="00905CAE" w:rsidRDefault="002D1D65" w:rsidP="00350EBC">
      <w:pPr>
        <w:pStyle w:val="Prrafodelista"/>
        <w:widowControl w:val="0"/>
        <w:numPr>
          <w:ilvl w:val="0"/>
          <w:numId w:val="3"/>
        </w:numPr>
        <w:spacing w:after="0"/>
        <w:ind w:left="142" w:firstLine="284"/>
        <w:jc w:val="both"/>
        <w:rPr>
          <w:rFonts w:ascii="Arial" w:eastAsia="Calibri" w:hAnsi="Arial" w:cs="Arial"/>
          <w:b/>
          <w:sz w:val="20"/>
          <w:szCs w:val="20"/>
        </w:rPr>
      </w:pPr>
      <w:r>
        <w:rPr>
          <w:rFonts w:ascii="Arial" w:eastAsia="Calibri" w:hAnsi="Arial" w:cs="Arial"/>
          <w:bCs/>
          <w:sz w:val="20"/>
          <w:szCs w:val="20"/>
        </w:rPr>
        <w:t xml:space="preserve">Elecnor S.A, asume la construcción de una central eléctrica en Angola, por valor de 150 millones de euros, el 50% de los cuales son financiados por el Banco Santander con un tipo de interés del 0,25% más cuatro puntos porcentuales de margen. Se establece un pago de 20 años, con dos de carencia y un sistema de </w:t>
      </w:r>
      <w:proofErr w:type="spellStart"/>
      <w:r>
        <w:rPr>
          <w:rFonts w:ascii="Arial" w:eastAsia="Calibri" w:hAnsi="Arial" w:cs="Arial"/>
          <w:bCs/>
          <w:sz w:val="20"/>
          <w:szCs w:val="20"/>
        </w:rPr>
        <w:t>amortizaciñon</w:t>
      </w:r>
      <w:proofErr w:type="spellEnd"/>
      <w:r>
        <w:rPr>
          <w:rFonts w:ascii="Arial" w:eastAsia="Calibri" w:hAnsi="Arial" w:cs="Arial"/>
          <w:bCs/>
          <w:sz w:val="20"/>
          <w:szCs w:val="20"/>
        </w:rPr>
        <w:t xml:space="preserve"> por cuota fija (</w:t>
      </w:r>
      <w:proofErr w:type="spellStart"/>
      <w:r>
        <w:rPr>
          <w:rFonts w:ascii="Arial" w:eastAsia="Calibri" w:hAnsi="Arial" w:cs="Arial"/>
          <w:bCs/>
          <w:sz w:val="20"/>
          <w:szCs w:val="20"/>
        </w:rPr>
        <w:t>fránces</w:t>
      </w:r>
      <w:proofErr w:type="spellEnd"/>
      <w:r>
        <w:rPr>
          <w:rFonts w:ascii="Arial" w:eastAsia="Calibri" w:hAnsi="Arial" w:cs="Arial"/>
          <w:bCs/>
          <w:sz w:val="20"/>
          <w:szCs w:val="20"/>
        </w:rPr>
        <w:t>). Dado que el espacio de tiempo es muy amplio, es muy probable que el Banco Central Europeo modifique los tipos de interés al alza. Para cubrir los riesgos de tal eventualidad, Banco Santander y el ICO contratan un CARI válido para los primeros cinco años y revisable posteriormente, en virtud del cual Banco Santander se asegura adquirir los fondos en el mercado bancario ajustados al 0,25%.</w:t>
      </w:r>
      <w:r w:rsidR="004262BA">
        <w:rPr>
          <w:rFonts w:ascii="Arial" w:eastAsia="Calibri" w:hAnsi="Arial" w:cs="Arial"/>
          <w:bCs/>
          <w:sz w:val="20"/>
          <w:szCs w:val="20"/>
        </w:rPr>
        <w:t xml:space="preserve"> </w:t>
      </w:r>
      <w:r w:rsidR="004262BA" w:rsidRPr="00374368">
        <w:rPr>
          <w:rFonts w:ascii="Arial" w:eastAsia="Calibri" w:hAnsi="Arial" w:cs="Arial"/>
          <w:b/>
          <w:sz w:val="20"/>
          <w:szCs w:val="20"/>
        </w:rPr>
        <w:t>(1 punto)</w:t>
      </w:r>
    </w:p>
    <w:p w14:paraId="31F1E19B" w14:textId="77777777" w:rsidR="00D17FD9" w:rsidRPr="00374368" w:rsidRDefault="00D17FD9" w:rsidP="00D17FD9">
      <w:pPr>
        <w:pStyle w:val="Prrafodelista"/>
        <w:widowControl w:val="0"/>
        <w:spacing w:after="0"/>
        <w:ind w:left="426"/>
        <w:jc w:val="both"/>
        <w:rPr>
          <w:rFonts w:ascii="Arial" w:eastAsia="Calibri" w:hAnsi="Arial" w:cs="Arial"/>
          <w:b/>
          <w:sz w:val="20"/>
          <w:szCs w:val="20"/>
        </w:rPr>
      </w:pPr>
    </w:p>
    <w:p w14:paraId="06055FAB" w14:textId="7EDBB55B" w:rsidR="002D1D65" w:rsidRDefault="002D1D65" w:rsidP="00350EBC">
      <w:pPr>
        <w:pStyle w:val="Prrafodelista"/>
        <w:widowControl w:val="0"/>
        <w:spacing w:after="0"/>
        <w:ind w:left="142"/>
        <w:jc w:val="both"/>
        <w:rPr>
          <w:rFonts w:ascii="Arial" w:eastAsia="Calibri" w:hAnsi="Arial" w:cs="Arial"/>
          <w:bCs/>
          <w:sz w:val="20"/>
          <w:szCs w:val="20"/>
        </w:rPr>
      </w:pPr>
      <w:r>
        <w:rPr>
          <w:rFonts w:ascii="Arial" w:eastAsia="Calibri" w:hAnsi="Arial" w:cs="Arial"/>
          <w:bCs/>
          <w:sz w:val="20"/>
          <w:szCs w:val="20"/>
        </w:rPr>
        <w:t xml:space="preserve">Se pide: </w:t>
      </w:r>
    </w:p>
    <w:p w14:paraId="4DC963BC" w14:textId="0A14C138" w:rsidR="002D1D65" w:rsidRDefault="002D1D65" w:rsidP="00350EBC">
      <w:pPr>
        <w:pStyle w:val="Prrafodelista"/>
        <w:widowControl w:val="0"/>
        <w:numPr>
          <w:ilvl w:val="0"/>
          <w:numId w:val="9"/>
        </w:numPr>
        <w:spacing w:after="0"/>
        <w:jc w:val="both"/>
        <w:rPr>
          <w:rFonts w:ascii="Arial" w:eastAsia="Calibri" w:hAnsi="Arial" w:cs="Arial"/>
          <w:bCs/>
          <w:sz w:val="20"/>
          <w:szCs w:val="20"/>
        </w:rPr>
      </w:pPr>
      <w:r>
        <w:rPr>
          <w:rFonts w:ascii="Arial" w:eastAsia="Calibri" w:hAnsi="Arial" w:cs="Arial"/>
          <w:bCs/>
          <w:sz w:val="20"/>
          <w:szCs w:val="20"/>
        </w:rPr>
        <w:t>Calcular el CARI en las siguientes hipótesis:</w:t>
      </w:r>
    </w:p>
    <w:p w14:paraId="59452FB9" w14:textId="6C210CE8" w:rsidR="002D1D65" w:rsidRDefault="002D1D65" w:rsidP="00350EBC">
      <w:pPr>
        <w:pStyle w:val="Prrafodelista"/>
        <w:widowControl w:val="0"/>
        <w:numPr>
          <w:ilvl w:val="0"/>
          <w:numId w:val="10"/>
        </w:numPr>
        <w:spacing w:after="0"/>
        <w:jc w:val="both"/>
        <w:rPr>
          <w:rFonts w:ascii="Arial" w:eastAsia="Calibri" w:hAnsi="Arial" w:cs="Arial"/>
          <w:bCs/>
          <w:sz w:val="20"/>
          <w:szCs w:val="20"/>
        </w:rPr>
      </w:pPr>
      <w:r>
        <w:rPr>
          <w:rFonts w:ascii="Arial" w:eastAsia="Calibri" w:hAnsi="Arial" w:cs="Arial"/>
          <w:bCs/>
          <w:sz w:val="20"/>
          <w:szCs w:val="20"/>
        </w:rPr>
        <w:t>Tipo de interés euríbor en el primer año: sin variación.</w:t>
      </w:r>
    </w:p>
    <w:p w14:paraId="4AF914B8" w14:textId="40E4C44E" w:rsidR="002D1D65" w:rsidRDefault="002D1D65" w:rsidP="00350EBC">
      <w:pPr>
        <w:pStyle w:val="Prrafodelista"/>
        <w:widowControl w:val="0"/>
        <w:numPr>
          <w:ilvl w:val="0"/>
          <w:numId w:val="10"/>
        </w:numPr>
        <w:spacing w:after="0"/>
        <w:jc w:val="both"/>
        <w:rPr>
          <w:rFonts w:ascii="Arial" w:eastAsia="Calibri" w:hAnsi="Arial" w:cs="Arial"/>
          <w:bCs/>
          <w:sz w:val="20"/>
          <w:szCs w:val="20"/>
        </w:rPr>
      </w:pPr>
      <w:bookmarkStart w:id="0" w:name="_Hlk71197758"/>
      <w:r w:rsidRPr="002D1D65">
        <w:rPr>
          <w:rFonts w:ascii="Arial" w:eastAsia="Calibri" w:hAnsi="Arial" w:cs="Arial"/>
          <w:bCs/>
          <w:sz w:val="20"/>
          <w:szCs w:val="20"/>
        </w:rPr>
        <w:t xml:space="preserve">Tipo de interés euríbor en el </w:t>
      </w:r>
      <w:r>
        <w:rPr>
          <w:rFonts w:ascii="Arial" w:eastAsia="Calibri" w:hAnsi="Arial" w:cs="Arial"/>
          <w:bCs/>
          <w:sz w:val="20"/>
          <w:szCs w:val="20"/>
        </w:rPr>
        <w:t>segundo</w:t>
      </w:r>
      <w:r w:rsidRPr="002D1D65">
        <w:rPr>
          <w:rFonts w:ascii="Arial" w:eastAsia="Calibri" w:hAnsi="Arial" w:cs="Arial"/>
          <w:bCs/>
          <w:sz w:val="20"/>
          <w:szCs w:val="20"/>
        </w:rPr>
        <w:t xml:space="preserve"> año: </w:t>
      </w:r>
      <w:r>
        <w:rPr>
          <w:rFonts w:ascii="Arial" w:eastAsia="Calibri" w:hAnsi="Arial" w:cs="Arial"/>
          <w:bCs/>
          <w:sz w:val="20"/>
          <w:szCs w:val="20"/>
        </w:rPr>
        <w:t>incremento del 0.10%.</w:t>
      </w:r>
    </w:p>
    <w:bookmarkEnd w:id="0"/>
    <w:p w14:paraId="6F5CD174" w14:textId="6BD5EEC7" w:rsidR="002D1D65" w:rsidRPr="002D1D65" w:rsidRDefault="002D1D65" w:rsidP="00350EBC">
      <w:pPr>
        <w:pStyle w:val="Prrafodelista"/>
        <w:numPr>
          <w:ilvl w:val="0"/>
          <w:numId w:val="10"/>
        </w:numPr>
        <w:rPr>
          <w:rFonts w:ascii="Arial" w:eastAsia="Calibri" w:hAnsi="Arial" w:cs="Arial"/>
          <w:bCs/>
          <w:sz w:val="20"/>
          <w:szCs w:val="20"/>
        </w:rPr>
      </w:pPr>
      <w:r w:rsidRPr="002D1D65">
        <w:rPr>
          <w:rFonts w:ascii="Arial" w:eastAsia="Calibri" w:hAnsi="Arial" w:cs="Arial"/>
          <w:bCs/>
          <w:sz w:val="20"/>
          <w:szCs w:val="20"/>
        </w:rPr>
        <w:t xml:space="preserve">Tipo de interés euríbor en el </w:t>
      </w:r>
      <w:r>
        <w:rPr>
          <w:rFonts w:ascii="Arial" w:eastAsia="Calibri" w:hAnsi="Arial" w:cs="Arial"/>
          <w:bCs/>
          <w:sz w:val="20"/>
          <w:szCs w:val="20"/>
        </w:rPr>
        <w:t>tercer</w:t>
      </w:r>
      <w:r w:rsidRPr="002D1D65">
        <w:rPr>
          <w:rFonts w:ascii="Arial" w:eastAsia="Calibri" w:hAnsi="Arial" w:cs="Arial"/>
          <w:bCs/>
          <w:sz w:val="20"/>
          <w:szCs w:val="20"/>
        </w:rPr>
        <w:t xml:space="preserve"> año: incremento del 0.</w:t>
      </w:r>
      <w:r>
        <w:rPr>
          <w:rFonts w:ascii="Arial" w:eastAsia="Calibri" w:hAnsi="Arial" w:cs="Arial"/>
          <w:bCs/>
          <w:sz w:val="20"/>
          <w:szCs w:val="20"/>
        </w:rPr>
        <w:t>2</w:t>
      </w:r>
      <w:r w:rsidRPr="002D1D65">
        <w:rPr>
          <w:rFonts w:ascii="Arial" w:eastAsia="Calibri" w:hAnsi="Arial" w:cs="Arial"/>
          <w:bCs/>
          <w:sz w:val="20"/>
          <w:szCs w:val="20"/>
        </w:rPr>
        <w:t>0%.</w:t>
      </w:r>
    </w:p>
    <w:p w14:paraId="48D6CB6C" w14:textId="782D030A" w:rsidR="002D1D65" w:rsidRPr="002D1D65" w:rsidRDefault="002D1D65" w:rsidP="00350EBC">
      <w:pPr>
        <w:pStyle w:val="Prrafodelista"/>
        <w:numPr>
          <w:ilvl w:val="0"/>
          <w:numId w:val="10"/>
        </w:numPr>
        <w:rPr>
          <w:rFonts w:ascii="Arial" w:eastAsia="Calibri" w:hAnsi="Arial" w:cs="Arial"/>
          <w:bCs/>
          <w:sz w:val="20"/>
          <w:szCs w:val="20"/>
        </w:rPr>
      </w:pPr>
      <w:r w:rsidRPr="002D1D65">
        <w:rPr>
          <w:rFonts w:ascii="Arial" w:eastAsia="Calibri" w:hAnsi="Arial" w:cs="Arial"/>
          <w:bCs/>
          <w:sz w:val="20"/>
          <w:szCs w:val="20"/>
        </w:rPr>
        <w:t xml:space="preserve">Tipo de interés euríbor en el </w:t>
      </w:r>
      <w:r>
        <w:rPr>
          <w:rFonts w:ascii="Arial" w:eastAsia="Calibri" w:hAnsi="Arial" w:cs="Arial"/>
          <w:bCs/>
          <w:sz w:val="20"/>
          <w:szCs w:val="20"/>
        </w:rPr>
        <w:t>cuarto</w:t>
      </w:r>
      <w:r w:rsidRPr="002D1D65">
        <w:rPr>
          <w:rFonts w:ascii="Arial" w:eastAsia="Calibri" w:hAnsi="Arial" w:cs="Arial"/>
          <w:bCs/>
          <w:sz w:val="20"/>
          <w:szCs w:val="20"/>
        </w:rPr>
        <w:t xml:space="preserve"> año: incremento del 0.</w:t>
      </w:r>
      <w:r>
        <w:rPr>
          <w:rFonts w:ascii="Arial" w:eastAsia="Calibri" w:hAnsi="Arial" w:cs="Arial"/>
          <w:bCs/>
          <w:sz w:val="20"/>
          <w:szCs w:val="20"/>
        </w:rPr>
        <w:t>3</w:t>
      </w:r>
      <w:r w:rsidRPr="002D1D65">
        <w:rPr>
          <w:rFonts w:ascii="Arial" w:eastAsia="Calibri" w:hAnsi="Arial" w:cs="Arial"/>
          <w:bCs/>
          <w:sz w:val="20"/>
          <w:szCs w:val="20"/>
        </w:rPr>
        <w:t>0%.</w:t>
      </w:r>
    </w:p>
    <w:p w14:paraId="234BB27D" w14:textId="046874B5" w:rsidR="002D1D65" w:rsidRPr="002D1D65" w:rsidRDefault="002D1D65" w:rsidP="00350EBC">
      <w:pPr>
        <w:pStyle w:val="Prrafodelista"/>
        <w:widowControl w:val="0"/>
        <w:numPr>
          <w:ilvl w:val="0"/>
          <w:numId w:val="10"/>
        </w:numPr>
        <w:spacing w:after="0"/>
        <w:jc w:val="both"/>
        <w:rPr>
          <w:rFonts w:ascii="Arial" w:eastAsia="Calibri" w:hAnsi="Arial" w:cs="Arial"/>
          <w:bCs/>
          <w:sz w:val="20"/>
          <w:szCs w:val="20"/>
        </w:rPr>
      </w:pPr>
      <w:r w:rsidRPr="002D1D65">
        <w:rPr>
          <w:rFonts w:ascii="Arial" w:eastAsia="Calibri" w:hAnsi="Arial" w:cs="Arial"/>
          <w:bCs/>
          <w:sz w:val="20"/>
          <w:szCs w:val="20"/>
        </w:rPr>
        <w:t xml:space="preserve">Tipo de interés euríbor en el quinto año: </w:t>
      </w:r>
      <w:r>
        <w:rPr>
          <w:rFonts w:ascii="Arial" w:eastAsia="Calibri" w:hAnsi="Arial" w:cs="Arial"/>
          <w:bCs/>
          <w:sz w:val="20"/>
          <w:szCs w:val="20"/>
        </w:rPr>
        <w:t>sin variación.</w:t>
      </w:r>
    </w:p>
    <w:sectPr w:rsidR="002D1D65" w:rsidRPr="002D1D65"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92A6D" w14:textId="77777777" w:rsidR="00B21EE8" w:rsidRDefault="00B21EE8" w:rsidP="00041FA0">
      <w:pPr>
        <w:spacing w:after="0" w:line="240" w:lineRule="auto"/>
      </w:pPr>
      <w:r>
        <w:separator/>
      </w:r>
    </w:p>
  </w:endnote>
  <w:endnote w:type="continuationSeparator" w:id="0">
    <w:p w14:paraId="4E44BF28" w14:textId="77777777" w:rsidR="00B21EE8" w:rsidRDefault="00B21EE8"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1E89A" w14:textId="77777777" w:rsidR="00B21EE8" w:rsidRDefault="00B21EE8" w:rsidP="00041FA0">
      <w:pPr>
        <w:spacing w:after="0" w:line="240" w:lineRule="auto"/>
      </w:pPr>
      <w:r>
        <w:separator/>
      </w:r>
    </w:p>
  </w:footnote>
  <w:footnote w:type="continuationSeparator" w:id="0">
    <w:p w14:paraId="0E33DFCB" w14:textId="77777777" w:rsidR="00B21EE8" w:rsidRDefault="00B21EE8"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20B0A0B"/>
    <w:multiLevelType w:val="hybridMultilevel"/>
    <w:tmpl w:val="49C203F4"/>
    <w:lvl w:ilvl="0" w:tplc="0A72F316">
      <w:start w:val="1"/>
      <w:numFmt w:val="lowerLetter"/>
      <w:lvlText w:val="%1)"/>
      <w:lvlJc w:val="left"/>
      <w:pPr>
        <w:ind w:left="1050" w:hanging="360"/>
      </w:pPr>
      <w:rPr>
        <w:rFonts w:hint="default"/>
      </w:rPr>
    </w:lvl>
    <w:lvl w:ilvl="1" w:tplc="0C0A0019" w:tentative="1">
      <w:start w:val="1"/>
      <w:numFmt w:val="lowerLetter"/>
      <w:lvlText w:val="%2."/>
      <w:lvlJc w:val="left"/>
      <w:pPr>
        <w:ind w:left="1770" w:hanging="360"/>
      </w:pPr>
    </w:lvl>
    <w:lvl w:ilvl="2" w:tplc="0C0A001B" w:tentative="1">
      <w:start w:val="1"/>
      <w:numFmt w:val="lowerRoman"/>
      <w:lvlText w:val="%3."/>
      <w:lvlJc w:val="right"/>
      <w:pPr>
        <w:ind w:left="2490" w:hanging="180"/>
      </w:pPr>
    </w:lvl>
    <w:lvl w:ilvl="3" w:tplc="0C0A000F" w:tentative="1">
      <w:start w:val="1"/>
      <w:numFmt w:val="decimal"/>
      <w:lvlText w:val="%4."/>
      <w:lvlJc w:val="left"/>
      <w:pPr>
        <w:ind w:left="3210" w:hanging="360"/>
      </w:pPr>
    </w:lvl>
    <w:lvl w:ilvl="4" w:tplc="0C0A0019" w:tentative="1">
      <w:start w:val="1"/>
      <w:numFmt w:val="lowerLetter"/>
      <w:lvlText w:val="%5."/>
      <w:lvlJc w:val="left"/>
      <w:pPr>
        <w:ind w:left="3930" w:hanging="360"/>
      </w:pPr>
    </w:lvl>
    <w:lvl w:ilvl="5" w:tplc="0C0A001B" w:tentative="1">
      <w:start w:val="1"/>
      <w:numFmt w:val="lowerRoman"/>
      <w:lvlText w:val="%6."/>
      <w:lvlJc w:val="right"/>
      <w:pPr>
        <w:ind w:left="4650" w:hanging="180"/>
      </w:pPr>
    </w:lvl>
    <w:lvl w:ilvl="6" w:tplc="0C0A000F" w:tentative="1">
      <w:start w:val="1"/>
      <w:numFmt w:val="decimal"/>
      <w:lvlText w:val="%7."/>
      <w:lvlJc w:val="left"/>
      <w:pPr>
        <w:ind w:left="5370" w:hanging="360"/>
      </w:pPr>
    </w:lvl>
    <w:lvl w:ilvl="7" w:tplc="0C0A0019" w:tentative="1">
      <w:start w:val="1"/>
      <w:numFmt w:val="lowerLetter"/>
      <w:lvlText w:val="%8."/>
      <w:lvlJc w:val="left"/>
      <w:pPr>
        <w:ind w:left="6090" w:hanging="360"/>
      </w:pPr>
    </w:lvl>
    <w:lvl w:ilvl="8" w:tplc="0C0A001B" w:tentative="1">
      <w:start w:val="1"/>
      <w:numFmt w:val="lowerRoman"/>
      <w:lvlText w:val="%9."/>
      <w:lvlJc w:val="right"/>
      <w:pPr>
        <w:ind w:left="6810" w:hanging="180"/>
      </w:pPr>
    </w:lvl>
  </w:abstractNum>
  <w:abstractNum w:abstractNumId="2" w15:restartNumberingAfterBreak="0">
    <w:nsid w:val="026477DB"/>
    <w:multiLevelType w:val="multilevel"/>
    <w:tmpl w:val="2422962C"/>
    <w:lvl w:ilvl="0">
      <w:start w:val="1"/>
      <w:numFmt w:val="decimal"/>
      <w:lvlText w:val="%1."/>
      <w:lvlJc w:val="left"/>
      <w:pPr>
        <w:ind w:left="644" w:hanging="360"/>
      </w:pPr>
      <w:rPr>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6B6F27"/>
    <w:multiLevelType w:val="hybridMultilevel"/>
    <w:tmpl w:val="F450483A"/>
    <w:lvl w:ilvl="0" w:tplc="5726D7A4">
      <w:start w:val="1"/>
      <w:numFmt w:val="decimal"/>
      <w:lvlText w:val="%1."/>
      <w:lvlJc w:val="left"/>
      <w:pPr>
        <w:ind w:left="502" w:hanging="360"/>
      </w:pPr>
      <w:rPr>
        <w:rFonts w:hint="default"/>
        <w:b/>
        <w:bCs w:val="0"/>
      </w:rPr>
    </w:lvl>
    <w:lvl w:ilvl="1" w:tplc="0C0A0019" w:tentative="1">
      <w:start w:val="1"/>
      <w:numFmt w:val="lowerLetter"/>
      <w:lvlText w:val="%2."/>
      <w:lvlJc w:val="left"/>
      <w:pPr>
        <w:ind w:left="1410" w:hanging="360"/>
      </w:pPr>
    </w:lvl>
    <w:lvl w:ilvl="2" w:tplc="0C0A001B" w:tentative="1">
      <w:start w:val="1"/>
      <w:numFmt w:val="lowerRoman"/>
      <w:lvlText w:val="%3."/>
      <w:lvlJc w:val="right"/>
      <w:pPr>
        <w:ind w:left="2130" w:hanging="180"/>
      </w:pPr>
    </w:lvl>
    <w:lvl w:ilvl="3" w:tplc="0C0A000F" w:tentative="1">
      <w:start w:val="1"/>
      <w:numFmt w:val="decimal"/>
      <w:lvlText w:val="%4."/>
      <w:lvlJc w:val="left"/>
      <w:pPr>
        <w:ind w:left="2850" w:hanging="360"/>
      </w:pPr>
    </w:lvl>
    <w:lvl w:ilvl="4" w:tplc="0C0A0019" w:tentative="1">
      <w:start w:val="1"/>
      <w:numFmt w:val="lowerLetter"/>
      <w:lvlText w:val="%5."/>
      <w:lvlJc w:val="left"/>
      <w:pPr>
        <w:ind w:left="3570" w:hanging="360"/>
      </w:pPr>
    </w:lvl>
    <w:lvl w:ilvl="5" w:tplc="0C0A001B" w:tentative="1">
      <w:start w:val="1"/>
      <w:numFmt w:val="lowerRoman"/>
      <w:lvlText w:val="%6."/>
      <w:lvlJc w:val="right"/>
      <w:pPr>
        <w:ind w:left="4290" w:hanging="180"/>
      </w:pPr>
    </w:lvl>
    <w:lvl w:ilvl="6" w:tplc="0C0A000F" w:tentative="1">
      <w:start w:val="1"/>
      <w:numFmt w:val="decimal"/>
      <w:lvlText w:val="%7."/>
      <w:lvlJc w:val="left"/>
      <w:pPr>
        <w:ind w:left="5010" w:hanging="360"/>
      </w:pPr>
    </w:lvl>
    <w:lvl w:ilvl="7" w:tplc="0C0A0019" w:tentative="1">
      <w:start w:val="1"/>
      <w:numFmt w:val="lowerLetter"/>
      <w:lvlText w:val="%8."/>
      <w:lvlJc w:val="left"/>
      <w:pPr>
        <w:ind w:left="5730" w:hanging="360"/>
      </w:pPr>
    </w:lvl>
    <w:lvl w:ilvl="8" w:tplc="0C0A001B" w:tentative="1">
      <w:start w:val="1"/>
      <w:numFmt w:val="lowerRoman"/>
      <w:lvlText w:val="%9."/>
      <w:lvlJc w:val="right"/>
      <w:pPr>
        <w:ind w:left="6450" w:hanging="180"/>
      </w:pPr>
    </w:lvl>
  </w:abstractNum>
  <w:abstractNum w:abstractNumId="4" w15:restartNumberingAfterBreak="0">
    <w:nsid w:val="4377665E"/>
    <w:multiLevelType w:val="hybridMultilevel"/>
    <w:tmpl w:val="75B2C89C"/>
    <w:lvl w:ilvl="0" w:tplc="1114A56A">
      <w:start w:val="1"/>
      <w:numFmt w:val="lowerLetter"/>
      <w:lvlText w:val="%1)"/>
      <w:lvlJc w:val="left"/>
      <w:pPr>
        <w:ind w:left="1050" w:hanging="360"/>
      </w:pPr>
      <w:rPr>
        <w:rFonts w:hint="default"/>
      </w:rPr>
    </w:lvl>
    <w:lvl w:ilvl="1" w:tplc="0C0A0019" w:tentative="1">
      <w:start w:val="1"/>
      <w:numFmt w:val="lowerLetter"/>
      <w:lvlText w:val="%2."/>
      <w:lvlJc w:val="left"/>
      <w:pPr>
        <w:ind w:left="1770" w:hanging="360"/>
      </w:pPr>
    </w:lvl>
    <w:lvl w:ilvl="2" w:tplc="0C0A001B" w:tentative="1">
      <w:start w:val="1"/>
      <w:numFmt w:val="lowerRoman"/>
      <w:lvlText w:val="%3."/>
      <w:lvlJc w:val="right"/>
      <w:pPr>
        <w:ind w:left="2490" w:hanging="180"/>
      </w:pPr>
    </w:lvl>
    <w:lvl w:ilvl="3" w:tplc="0C0A000F" w:tentative="1">
      <w:start w:val="1"/>
      <w:numFmt w:val="decimal"/>
      <w:lvlText w:val="%4."/>
      <w:lvlJc w:val="left"/>
      <w:pPr>
        <w:ind w:left="3210" w:hanging="360"/>
      </w:pPr>
    </w:lvl>
    <w:lvl w:ilvl="4" w:tplc="0C0A0019" w:tentative="1">
      <w:start w:val="1"/>
      <w:numFmt w:val="lowerLetter"/>
      <w:lvlText w:val="%5."/>
      <w:lvlJc w:val="left"/>
      <w:pPr>
        <w:ind w:left="3930" w:hanging="360"/>
      </w:pPr>
    </w:lvl>
    <w:lvl w:ilvl="5" w:tplc="0C0A001B" w:tentative="1">
      <w:start w:val="1"/>
      <w:numFmt w:val="lowerRoman"/>
      <w:lvlText w:val="%6."/>
      <w:lvlJc w:val="right"/>
      <w:pPr>
        <w:ind w:left="4650" w:hanging="180"/>
      </w:pPr>
    </w:lvl>
    <w:lvl w:ilvl="6" w:tplc="0C0A000F" w:tentative="1">
      <w:start w:val="1"/>
      <w:numFmt w:val="decimal"/>
      <w:lvlText w:val="%7."/>
      <w:lvlJc w:val="left"/>
      <w:pPr>
        <w:ind w:left="5370" w:hanging="360"/>
      </w:pPr>
    </w:lvl>
    <w:lvl w:ilvl="7" w:tplc="0C0A0019" w:tentative="1">
      <w:start w:val="1"/>
      <w:numFmt w:val="lowerLetter"/>
      <w:lvlText w:val="%8."/>
      <w:lvlJc w:val="left"/>
      <w:pPr>
        <w:ind w:left="6090" w:hanging="360"/>
      </w:pPr>
    </w:lvl>
    <w:lvl w:ilvl="8" w:tplc="0C0A001B" w:tentative="1">
      <w:start w:val="1"/>
      <w:numFmt w:val="lowerRoman"/>
      <w:lvlText w:val="%9."/>
      <w:lvlJc w:val="right"/>
      <w:pPr>
        <w:ind w:left="6810" w:hanging="180"/>
      </w:pPr>
    </w:lvl>
  </w:abstractNum>
  <w:abstractNum w:abstractNumId="5" w15:restartNumberingAfterBreak="0">
    <w:nsid w:val="48B050A5"/>
    <w:multiLevelType w:val="hybridMultilevel"/>
    <w:tmpl w:val="C8D896AA"/>
    <w:lvl w:ilvl="0" w:tplc="2A3A78E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5501538B"/>
    <w:multiLevelType w:val="hybridMultilevel"/>
    <w:tmpl w:val="C80884D6"/>
    <w:lvl w:ilvl="0" w:tplc="A0705888">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7" w15:restartNumberingAfterBreak="0">
    <w:nsid w:val="55B30A98"/>
    <w:multiLevelType w:val="hybridMultilevel"/>
    <w:tmpl w:val="1970547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F44571A"/>
    <w:multiLevelType w:val="hybridMultilevel"/>
    <w:tmpl w:val="31F037B8"/>
    <w:lvl w:ilvl="0" w:tplc="3CC84AF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742C0331"/>
    <w:multiLevelType w:val="hybridMultilevel"/>
    <w:tmpl w:val="0B841496"/>
    <w:lvl w:ilvl="0" w:tplc="3F5AAC50">
      <w:start w:val="1"/>
      <w:numFmt w:val="lowerLetter"/>
      <w:lvlText w:val="%1)"/>
      <w:lvlJc w:val="left"/>
      <w:pPr>
        <w:ind w:left="1050" w:hanging="360"/>
      </w:pPr>
      <w:rPr>
        <w:rFonts w:hint="default"/>
      </w:rPr>
    </w:lvl>
    <w:lvl w:ilvl="1" w:tplc="0C0A0019" w:tentative="1">
      <w:start w:val="1"/>
      <w:numFmt w:val="lowerLetter"/>
      <w:lvlText w:val="%2."/>
      <w:lvlJc w:val="left"/>
      <w:pPr>
        <w:ind w:left="1770" w:hanging="360"/>
      </w:pPr>
    </w:lvl>
    <w:lvl w:ilvl="2" w:tplc="0C0A001B" w:tentative="1">
      <w:start w:val="1"/>
      <w:numFmt w:val="lowerRoman"/>
      <w:lvlText w:val="%3."/>
      <w:lvlJc w:val="right"/>
      <w:pPr>
        <w:ind w:left="2490" w:hanging="180"/>
      </w:pPr>
    </w:lvl>
    <w:lvl w:ilvl="3" w:tplc="0C0A000F" w:tentative="1">
      <w:start w:val="1"/>
      <w:numFmt w:val="decimal"/>
      <w:lvlText w:val="%4."/>
      <w:lvlJc w:val="left"/>
      <w:pPr>
        <w:ind w:left="3210" w:hanging="360"/>
      </w:pPr>
    </w:lvl>
    <w:lvl w:ilvl="4" w:tplc="0C0A0019" w:tentative="1">
      <w:start w:val="1"/>
      <w:numFmt w:val="lowerLetter"/>
      <w:lvlText w:val="%5."/>
      <w:lvlJc w:val="left"/>
      <w:pPr>
        <w:ind w:left="3930" w:hanging="360"/>
      </w:pPr>
    </w:lvl>
    <w:lvl w:ilvl="5" w:tplc="0C0A001B" w:tentative="1">
      <w:start w:val="1"/>
      <w:numFmt w:val="lowerRoman"/>
      <w:lvlText w:val="%6."/>
      <w:lvlJc w:val="right"/>
      <w:pPr>
        <w:ind w:left="4650" w:hanging="180"/>
      </w:pPr>
    </w:lvl>
    <w:lvl w:ilvl="6" w:tplc="0C0A000F" w:tentative="1">
      <w:start w:val="1"/>
      <w:numFmt w:val="decimal"/>
      <w:lvlText w:val="%7."/>
      <w:lvlJc w:val="left"/>
      <w:pPr>
        <w:ind w:left="5370" w:hanging="360"/>
      </w:pPr>
    </w:lvl>
    <w:lvl w:ilvl="7" w:tplc="0C0A0019" w:tentative="1">
      <w:start w:val="1"/>
      <w:numFmt w:val="lowerLetter"/>
      <w:lvlText w:val="%8."/>
      <w:lvlJc w:val="left"/>
      <w:pPr>
        <w:ind w:left="6090" w:hanging="360"/>
      </w:pPr>
    </w:lvl>
    <w:lvl w:ilvl="8" w:tplc="0C0A001B" w:tentative="1">
      <w:start w:val="1"/>
      <w:numFmt w:val="lowerRoman"/>
      <w:lvlText w:val="%9."/>
      <w:lvlJc w:val="right"/>
      <w:pPr>
        <w:ind w:left="6810" w:hanging="180"/>
      </w:pPr>
    </w:lvl>
  </w:abstractNum>
  <w:num w:numId="1">
    <w:abstractNumId w:val="0"/>
  </w:num>
  <w:num w:numId="2">
    <w:abstractNumId w:val="2"/>
  </w:num>
  <w:num w:numId="3">
    <w:abstractNumId w:val="3"/>
  </w:num>
  <w:num w:numId="4">
    <w:abstractNumId w:val="8"/>
  </w:num>
  <w:num w:numId="5">
    <w:abstractNumId w:val="5"/>
  </w:num>
  <w:num w:numId="6">
    <w:abstractNumId w:val="4"/>
  </w:num>
  <w:num w:numId="7">
    <w:abstractNumId w:val="1"/>
  </w:num>
  <w:num w:numId="8">
    <w:abstractNumId w:val="6"/>
  </w:num>
  <w:num w:numId="9">
    <w:abstractNumId w:val="9"/>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0426A"/>
    <w:rsid w:val="00041FA0"/>
    <w:rsid w:val="00056A25"/>
    <w:rsid w:val="00091597"/>
    <w:rsid w:val="000C46C5"/>
    <w:rsid w:val="000D3008"/>
    <w:rsid w:val="000E7C0F"/>
    <w:rsid w:val="000F6733"/>
    <w:rsid w:val="00117EDB"/>
    <w:rsid w:val="00157B71"/>
    <w:rsid w:val="001A019B"/>
    <w:rsid w:val="001B1518"/>
    <w:rsid w:val="001B7E91"/>
    <w:rsid w:val="001C7529"/>
    <w:rsid w:val="001D1088"/>
    <w:rsid w:val="001D43ED"/>
    <w:rsid w:val="001E103A"/>
    <w:rsid w:val="002142DA"/>
    <w:rsid w:val="002324F8"/>
    <w:rsid w:val="00251052"/>
    <w:rsid w:val="002A25B0"/>
    <w:rsid w:val="002B7914"/>
    <w:rsid w:val="002D0E59"/>
    <w:rsid w:val="002D1D65"/>
    <w:rsid w:val="002E28BE"/>
    <w:rsid w:val="0033546B"/>
    <w:rsid w:val="0034477C"/>
    <w:rsid w:val="00350EBC"/>
    <w:rsid w:val="00364186"/>
    <w:rsid w:val="00374368"/>
    <w:rsid w:val="00386737"/>
    <w:rsid w:val="003A013B"/>
    <w:rsid w:val="003A10D5"/>
    <w:rsid w:val="003D0AD0"/>
    <w:rsid w:val="00424D3F"/>
    <w:rsid w:val="004262BA"/>
    <w:rsid w:val="00437099"/>
    <w:rsid w:val="00463D64"/>
    <w:rsid w:val="00473BEB"/>
    <w:rsid w:val="004927E6"/>
    <w:rsid w:val="004B76B3"/>
    <w:rsid w:val="00510E5D"/>
    <w:rsid w:val="00517867"/>
    <w:rsid w:val="005233E4"/>
    <w:rsid w:val="0058293A"/>
    <w:rsid w:val="005B077F"/>
    <w:rsid w:val="005C2A7B"/>
    <w:rsid w:val="005C4E8E"/>
    <w:rsid w:val="00613825"/>
    <w:rsid w:val="00615D75"/>
    <w:rsid w:val="006269EC"/>
    <w:rsid w:val="00673265"/>
    <w:rsid w:val="00692EB7"/>
    <w:rsid w:val="006C2C45"/>
    <w:rsid w:val="00711AF4"/>
    <w:rsid w:val="007243D7"/>
    <w:rsid w:val="00724602"/>
    <w:rsid w:val="00737FC8"/>
    <w:rsid w:val="00757C5D"/>
    <w:rsid w:val="007768FB"/>
    <w:rsid w:val="007C43A3"/>
    <w:rsid w:val="00815F2F"/>
    <w:rsid w:val="00852746"/>
    <w:rsid w:val="00876919"/>
    <w:rsid w:val="00884DA3"/>
    <w:rsid w:val="0088579C"/>
    <w:rsid w:val="008B3F98"/>
    <w:rsid w:val="008E24D0"/>
    <w:rsid w:val="009052ED"/>
    <w:rsid w:val="00905CAE"/>
    <w:rsid w:val="00935D42"/>
    <w:rsid w:val="00943B61"/>
    <w:rsid w:val="009567B3"/>
    <w:rsid w:val="00973FF1"/>
    <w:rsid w:val="0098403F"/>
    <w:rsid w:val="0098635E"/>
    <w:rsid w:val="009A67A3"/>
    <w:rsid w:val="009D6B3E"/>
    <w:rsid w:val="009E70CF"/>
    <w:rsid w:val="009F430A"/>
    <w:rsid w:val="009F7C53"/>
    <w:rsid w:val="00A2065B"/>
    <w:rsid w:val="00A37AC6"/>
    <w:rsid w:val="00A97D5D"/>
    <w:rsid w:val="00AB0626"/>
    <w:rsid w:val="00AB46AD"/>
    <w:rsid w:val="00AF40DA"/>
    <w:rsid w:val="00B21EE8"/>
    <w:rsid w:val="00B372FF"/>
    <w:rsid w:val="00B762C5"/>
    <w:rsid w:val="00BA57B8"/>
    <w:rsid w:val="00BB2A38"/>
    <w:rsid w:val="00BC4099"/>
    <w:rsid w:val="00BC70B3"/>
    <w:rsid w:val="00C051B0"/>
    <w:rsid w:val="00C37808"/>
    <w:rsid w:val="00C75113"/>
    <w:rsid w:val="00CA2CF4"/>
    <w:rsid w:val="00CE647E"/>
    <w:rsid w:val="00D17FD9"/>
    <w:rsid w:val="00D4097E"/>
    <w:rsid w:val="00D5338E"/>
    <w:rsid w:val="00D70CEE"/>
    <w:rsid w:val="00D74EFB"/>
    <w:rsid w:val="00E17E43"/>
    <w:rsid w:val="00E21D19"/>
    <w:rsid w:val="00E22D42"/>
    <w:rsid w:val="00E24775"/>
    <w:rsid w:val="00EC50FD"/>
    <w:rsid w:val="00EE4BC5"/>
    <w:rsid w:val="00F00733"/>
    <w:rsid w:val="00F319D6"/>
    <w:rsid w:val="00F72BDB"/>
    <w:rsid w:val="00F83CC2"/>
    <w:rsid w:val="00F85150"/>
    <w:rsid w:val="00FF06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0DC841A4-4BA1-41C9-A905-A11D56D3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1141</Words>
  <Characters>6277</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ALBERTO ARJONA ROMERO</cp:lastModifiedBy>
  <cp:revision>29</cp:revision>
  <cp:lastPrinted>2021-05-11T10:21:00Z</cp:lastPrinted>
  <dcterms:created xsi:type="dcterms:W3CDTF">2021-04-27T09:54:00Z</dcterms:created>
  <dcterms:modified xsi:type="dcterms:W3CDTF">2021-05-11T10:24:00Z</dcterms:modified>
</cp:coreProperties>
</file>